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3128A" w14:textId="0E5E9DB4" w:rsidR="00183F61" w:rsidRPr="00E25321" w:rsidRDefault="00A01802" w:rsidP="00C421A0">
      <w:pPr>
        <w:spacing w:after="0" w:line="240" w:lineRule="auto"/>
        <w:jc w:val="both"/>
        <w:rPr>
          <w:rFonts w:eastAsia="Times New Roman" w:cs="Arial"/>
          <w:b/>
          <w:bCs/>
          <w:sz w:val="32"/>
          <w:szCs w:val="32"/>
          <w:lang w:eastAsia="nl-NL"/>
        </w:rPr>
      </w:pPr>
      <w:bookmarkStart w:id="0" w:name="_GoBack"/>
      <w:bookmarkEnd w:id="0"/>
      <w:r>
        <w:rPr>
          <w:rFonts w:eastAsia="Times New Roman" w:cs="Arial"/>
          <w:b/>
          <w:bCs/>
          <w:sz w:val="32"/>
          <w:szCs w:val="32"/>
          <w:lang w:eastAsia="nl-NL"/>
        </w:rPr>
        <w:t>Huishoudens werkzaam in het onderwijs</w:t>
      </w:r>
      <w:r w:rsidR="002C544E" w:rsidRPr="00E25321">
        <w:rPr>
          <w:rFonts w:eastAsia="Times New Roman" w:cs="Arial"/>
          <w:b/>
          <w:bCs/>
          <w:sz w:val="32"/>
          <w:szCs w:val="32"/>
          <w:lang w:eastAsia="nl-NL"/>
        </w:rPr>
        <w:t>,</w:t>
      </w:r>
      <w:r w:rsidR="00137618" w:rsidRPr="00E25321">
        <w:rPr>
          <w:rFonts w:eastAsia="Times New Roman" w:cs="Arial"/>
          <w:b/>
          <w:bCs/>
          <w:sz w:val="32"/>
          <w:szCs w:val="32"/>
          <w:lang w:eastAsia="nl-NL"/>
        </w:rPr>
        <w:t xml:space="preserve"> 2016</w:t>
      </w:r>
    </w:p>
    <w:p w14:paraId="3E9AEFCE" w14:textId="77777777" w:rsidR="00183F61" w:rsidRPr="00600DBA" w:rsidRDefault="00183F61" w:rsidP="00C421A0">
      <w:pPr>
        <w:spacing w:after="0"/>
        <w:jc w:val="both"/>
        <w:rPr>
          <w:rFonts w:cstheme="minorHAnsi"/>
          <w:b/>
          <w:sz w:val="20"/>
          <w:szCs w:val="20"/>
        </w:rPr>
      </w:pPr>
    </w:p>
    <w:p w14:paraId="58EE8A1A" w14:textId="495E1842" w:rsidR="00183F61" w:rsidRPr="00BA22B5" w:rsidRDefault="00137618" w:rsidP="00C421A0">
      <w:pPr>
        <w:spacing w:after="0"/>
        <w:jc w:val="both"/>
        <w:rPr>
          <w:rFonts w:cstheme="minorHAnsi"/>
          <w:sz w:val="20"/>
          <w:szCs w:val="20"/>
        </w:rPr>
      </w:pPr>
      <w:r w:rsidRPr="00BA22B5">
        <w:rPr>
          <w:rFonts w:cstheme="minorHAnsi"/>
          <w:sz w:val="20"/>
          <w:szCs w:val="20"/>
        </w:rPr>
        <w:t>Wouter van Andel</w:t>
      </w:r>
      <w:r w:rsidR="007064EA" w:rsidRPr="00BA22B5">
        <w:rPr>
          <w:rFonts w:cstheme="minorHAnsi"/>
          <w:sz w:val="20"/>
          <w:szCs w:val="20"/>
        </w:rPr>
        <w:t xml:space="preserve"> </w:t>
      </w:r>
      <w:r w:rsidR="0044424E" w:rsidRPr="00BA22B5">
        <w:rPr>
          <w:rFonts w:cstheme="minorHAnsi"/>
          <w:sz w:val="20"/>
          <w:szCs w:val="20"/>
        </w:rPr>
        <w:t xml:space="preserve">en </w:t>
      </w:r>
      <w:r w:rsidR="00A01802" w:rsidRPr="00BA22B5">
        <w:rPr>
          <w:rFonts w:cstheme="minorHAnsi"/>
          <w:sz w:val="20"/>
          <w:szCs w:val="20"/>
        </w:rPr>
        <w:t>Marijn Detiger</w:t>
      </w:r>
    </w:p>
    <w:p w14:paraId="5234E03C" w14:textId="77777777" w:rsidR="00183F61" w:rsidRPr="003A32EE" w:rsidRDefault="00183F61" w:rsidP="00C421A0">
      <w:pPr>
        <w:spacing w:after="0"/>
        <w:jc w:val="both"/>
        <w:rPr>
          <w:rFonts w:cstheme="minorHAnsi"/>
        </w:rPr>
      </w:pPr>
    </w:p>
    <w:p w14:paraId="518B4100" w14:textId="77777777" w:rsidR="00183F61" w:rsidRPr="003A32EE" w:rsidRDefault="00183F61" w:rsidP="00C421A0">
      <w:pPr>
        <w:spacing w:after="0"/>
        <w:jc w:val="both"/>
        <w:rPr>
          <w:rFonts w:cstheme="minorHAnsi"/>
        </w:rPr>
      </w:pPr>
    </w:p>
    <w:p w14:paraId="664989B8" w14:textId="77777777" w:rsidR="00183F61" w:rsidRPr="003A32EE" w:rsidRDefault="00183F61" w:rsidP="00C421A0">
      <w:pPr>
        <w:spacing w:after="0"/>
        <w:jc w:val="both"/>
        <w:rPr>
          <w:rFonts w:cstheme="minorHAnsi"/>
        </w:rPr>
      </w:pPr>
    </w:p>
    <w:p w14:paraId="2E354730" w14:textId="77777777" w:rsidR="00183F61" w:rsidRPr="003A32EE" w:rsidRDefault="00183F61" w:rsidP="00C421A0">
      <w:pPr>
        <w:spacing w:after="0"/>
        <w:jc w:val="both"/>
        <w:rPr>
          <w:rFonts w:cstheme="minorHAnsi"/>
        </w:rPr>
      </w:pPr>
    </w:p>
    <w:p w14:paraId="4CF8D321" w14:textId="77777777" w:rsidR="00183F61" w:rsidRPr="003A32EE" w:rsidRDefault="00183F61" w:rsidP="00C421A0">
      <w:pPr>
        <w:spacing w:after="0"/>
        <w:jc w:val="both"/>
        <w:rPr>
          <w:rFonts w:cstheme="minorHAnsi"/>
        </w:rPr>
      </w:pPr>
    </w:p>
    <w:p w14:paraId="00C878E7" w14:textId="77777777" w:rsidR="00183F61" w:rsidRPr="003A32EE" w:rsidRDefault="00183F61" w:rsidP="00C421A0">
      <w:pPr>
        <w:spacing w:after="0"/>
        <w:jc w:val="both"/>
        <w:rPr>
          <w:rFonts w:cstheme="minorHAnsi"/>
        </w:rPr>
      </w:pPr>
    </w:p>
    <w:p w14:paraId="25D2D637" w14:textId="77777777" w:rsidR="00183F61" w:rsidRPr="003A32EE" w:rsidRDefault="00183F61" w:rsidP="00C421A0">
      <w:pPr>
        <w:spacing w:after="0"/>
        <w:jc w:val="both"/>
        <w:rPr>
          <w:rFonts w:cstheme="minorHAnsi"/>
        </w:rPr>
      </w:pPr>
    </w:p>
    <w:p w14:paraId="2470BA79" w14:textId="77777777" w:rsidR="00183F61" w:rsidRPr="003A32EE" w:rsidRDefault="00183F61" w:rsidP="00C421A0">
      <w:pPr>
        <w:spacing w:after="0"/>
        <w:jc w:val="both"/>
        <w:rPr>
          <w:rFonts w:cstheme="minorHAnsi"/>
        </w:rPr>
      </w:pPr>
    </w:p>
    <w:p w14:paraId="13AE85AB" w14:textId="77777777" w:rsidR="00183F61" w:rsidRPr="003A32EE" w:rsidRDefault="00183F61" w:rsidP="00C421A0">
      <w:pPr>
        <w:spacing w:after="0"/>
        <w:jc w:val="both"/>
        <w:rPr>
          <w:rFonts w:cstheme="minorHAnsi"/>
        </w:rPr>
      </w:pPr>
    </w:p>
    <w:p w14:paraId="294ABAD1" w14:textId="77777777" w:rsidR="00183F61" w:rsidRPr="003A32EE" w:rsidRDefault="00183F61" w:rsidP="00C421A0">
      <w:pPr>
        <w:spacing w:after="0"/>
        <w:jc w:val="both"/>
        <w:rPr>
          <w:rFonts w:cstheme="minorHAnsi"/>
        </w:rPr>
      </w:pPr>
    </w:p>
    <w:p w14:paraId="32ED9CE9" w14:textId="77777777" w:rsidR="00183F61" w:rsidRPr="003A32EE" w:rsidRDefault="00183F61" w:rsidP="00C421A0">
      <w:pPr>
        <w:spacing w:after="0"/>
        <w:jc w:val="both"/>
        <w:rPr>
          <w:rFonts w:cstheme="minorHAnsi"/>
        </w:rPr>
      </w:pPr>
    </w:p>
    <w:p w14:paraId="60A96295" w14:textId="77777777" w:rsidR="00183F61" w:rsidRPr="003A32EE" w:rsidRDefault="00183F61" w:rsidP="00C421A0">
      <w:pPr>
        <w:spacing w:after="0"/>
        <w:jc w:val="both"/>
        <w:rPr>
          <w:rFonts w:cstheme="minorHAnsi"/>
        </w:rPr>
      </w:pPr>
    </w:p>
    <w:p w14:paraId="5D37DEB5" w14:textId="77777777" w:rsidR="00183F61" w:rsidRPr="003A32EE" w:rsidRDefault="00183F61" w:rsidP="00C421A0">
      <w:pPr>
        <w:spacing w:after="0"/>
        <w:jc w:val="both"/>
        <w:rPr>
          <w:rFonts w:cstheme="minorHAnsi"/>
        </w:rPr>
      </w:pPr>
    </w:p>
    <w:p w14:paraId="4367AF8E" w14:textId="77777777" w:rsidR="00183F61" w:rsidRPr="003A32EE" w:rsidRDefault="00183F61" w:rsidP="00C421A0">
      <w:pPr>
        <w:spacing w:after="0"/>
        <w:jc w:val="both"/>
        <w:rPr>
          <w:rFonts w:cstheme="minorHAnsi"/>
        </w:rPr>
      </w:pPr>
    </w:p>
    <w:p w14:paraId="7BC6A057" w14:textId="77777777" w:rsidR="00183F61" w:rsidRPr="003A32EE" w:rsidRDefault="00183F61" w:rsidP="00C421A0">
      <w:pPr>
        <w:spacing w:after="0"/>
        <w:jc w:val="both"/>
        <w:rPr>
          <w:rFonts w:cstheme="minorHAnsi"/>
        </w:rPr>
      </w:pPr>
    </w:p>
    <w:p w14:paraId="0E022DEF" w14:textId="77777777" w:rsidR="00183F61" w:rsidRPr="003A32EE" w:rsidRDefault="00183F61" w:rsidP="00C421A0">
      <w:pPr>
        <w:spacing w:after="0"/>
        <w:jc w:val="both"/>
        <w:rPr>
          <w:rFonts w:cstheme="minorHAnsi"/>
        </w:rPr>
      </w:pPr>
    </w:p>
    <w:p w14:paraId="04A8D4E9" w14:textId="77777777" w:rsidR="00183F61" w:rsidRPr="003A32EE" w:rsidRDefault="00183F61" w:rsidP="00C421A0">
      <w:pPr>
        <w:spacing w:after="0"/>
        <w:jc w:val="both"/>
        <w:rPr>
          <w:rFonts w:cstheme="minorHAnsi"/>
        </w:rPr>
      </w:pPr>
    </w:p>
    <w:p w14:paraId="5BFCB321" w14:textId="77777777" w:rsidR="00183F61" w:rsidRPr="003A32EE" w:rsidRDefault="00183F61" w:rsidP="00C421A0">
      <w:pPr>
        <w:spacing w:after="0"/>
        <w:jc w:val="both"/>
        <w:rPr>
          <w:rFonts w:cstheme="minorHAnsi"/>
        </w:rPr>
      </w:pPr>
    </w:p>
    <w:p w14:paraId="0870D395" w14:textId="77777777" w:rsidR="00183F61" w:rsidRPr="003A32EE" w:rsidRDefault="00183F61" w:rsidP="00C421A0">
      <w:pPr>
        <w:spacing w:after="0"/>
        <w:jc w:val="both"/>
        <w:rPr>
          <w:rFonts w:cstheme="minorHAnsi"/>
        </w:rPr>
      </w:pPr>
    </w:p>
    <w:p w14:paraId="6B719F64" w14:textId="77777777" w:rsidR="00183F61" w:rsidRPr="003A32EE" w:rsidRDefault="00183F61" w:rsidP="00C421A0">
      <w:pPr>
        <w:spacing w:after="0"/>
        <w:jc w:val="both"/>
        <w:rPr>
          <w:rFonts w:cstheme="minorHAnsi"/>
        </w:rPr>
      </w:pPr>
    </w:p>
    <w:p w14:paraId="00FCBC3D" w14:textId="77777777" w:rsidR="00183F61" w:rsidRPr="003A32EE" w:rsidRDefault="00183F61" w:rsidP="00C421A0">
      <w:pPr>
        <w:spacing w:after="0"/>
        <w:jc w:val="both"/>
        <w:rPr>
          <w:rFonts w:cstheme="minorHAnsi"/>
        </w:rPr>
      </w:pPr>
    </w:p>
    <w:p w14:paraId="7ACE1BD7" w14:textId="77777777" w:rsidR="00183F61" w:rsidRPr="003A32EE" w:rsidRDefault="00183F61" w:rsidP="00C421A0">
      <w:pPr>
        <w:spacing w:after="0"/>
        <w:jc w:val="both"/>
        <w:rPr>
          <w:rFonts w:cstheme="minorHAnsi"/>
        </w:rPr>
      </w:pPr>
    </w:p>
    <w:p w14:paraId="500F0356" w14:textId="77777777" w:rsidR="00183F61" w:rsidRPr="003A32EE" w:rsidRDefault="00183F61" w:rsidP="00C421A0">
      <w:pPr>
        <w:spacing w:after="0"/>
        <w:jc w:val="both"/>
        <w:rPr>
          <w:rFonts w:cstheme="minorHAnsi"/>
        </w:rPr>
      </w:pPr>
    </w:p>
    <w:p w14:paraId="6AFFE5C3" w14:textId="77777777" w:rsidR="00183F61" w:rsidRPr="003A32EE" w:rsidRDefault="00183F61" w:rsidP="00C421A0">
      <w:pPr>
        <w:spacing w:after="0"/>
        <w:jc w:val="both"/>
        <w:rPr>
          <w:rFonts w:cstheme="minorHAnsi"/>
        </w:rPr>
      </w:pPr>
    </w:p>
    <w:p w14:paraId="761E5CC7" w14:textId="77777777" w:rsidR="00183F61" w:rsidRPr="003A32EE" w:rsidRDefault="00183F61" w:rsidP="00C421A0">
      <w:pPr>
        <w:spacing w:after="0"/>
        <w:jc w:val="both"/>
        <w:rPr>
          <w:rFonts w:cstheme="minorHAnsi"/>
        </w:rPr>
      </w:pPr>
    </w:p>
    <w:p w14:paraId="05DA30B6" w14:textId="77777777" w:rsidR="00183F61" w:rsidRPr="003A32EE" w:rsidRDefault="00183F61" w:rsidP="00C421A0">
      <w:pPr>
        <w:spacing w:after="0"/>
        <w:jc w:val="both"/>
        <w:rPr>
          <w:rFonts w:cstheme="minorHAnsi"/>
        </w:rPr>
      </w:pPr>
    </w:p>
    <w:p w14:paraId="1E8B77AF" w14:textId="77777777" w:rsidR="00183F61" w:rsidRPr="003A32EE" w:rsidRDefault="00183F61" w:rsidP="00C421A0">
      <w:pPr>
        <w:spacing w:after="0"/>
        <w:jc w:val="both"/>
        <w:rPr>
          <w:rFonts w:cstheme="minorHAnsi"/>
        </w:rPr>
      </w:pPr>
    </w:p>
    <w:p w14:paraId="677B2593" w14:textId="77777777" w:rsidR="00183F61" w:rsidRPr="003A32EE" w:rsidRDefault="00183F61" w:rsidP="00C421A0">
      <w:pPr>
        <w:spacing w:after="0"/>
        <w:jc w:val="both"/>
        <w:rPr>
          <w:rFonts w:cstheme="minorHAnsi"/>
        </w:rPr>
      </w:pPr>
    </w:p>
    <w:p w14:paraId="7A5D70A9" w14:textId="77777777" w:rsidR="00183F61" w:rsidRPr="003A32EE" w:rsidRDefault="00183F61" w:rsidP="00C421A0">
      <w:pPr>
        <w:spacing w:after="0"/>
        <w:jc w:val="both"/>
        <w:rPr>
          <w:rFonts w:cstheme="minorHAnsi"/>
        </w:rPr>
      </w:pPr>
    </w:p>
    <w:p w14:paraId="6DB7F1B0" w14:textId="77777777" w:rsidR="00183F61" w:rsidRPr="003A32EE" w:rsidRDefault="00183F61" w:rsidP="00C421A0">
      <w:pPr>
        <w:spacing w:after="0"/>
        <w:jc w:val="both"/>
        <w:rPr>
          <w:rFonts w:cstheme="minorHAnsi"/>
        </w:rPr>
      </w:pPr>
    </w:p>
    <w:p w14:paraId="44BFD52A" w14:textId="77777777" w:rsidR="00183F61" w:rsidRPr="003A32EE" w:rsidRDefault="00183F61" w:rsidP="00C421A0">
      <w:pPr>
        <w:spacing w:after="0"/>
        <w:jc w:val="both"/>
        <w:rPr>
          <w:rFonts w:cstheme="minorHAnsi"/>
        </w:rPr>
      </w:pPr>
    </w:p>
    <w:p w14:paraId="0E617936" w14:textId="77777777" w:rsidR="00183F61" w:rsidRPr="003A32EE" w:rsidRDefault="00183F61" w:rsidP="00C421A0">
      <w:pPr>
        <w:spacing w:after="0"/>
        <w:jc w:val="both"/>
        <w:rPr>
          <w:rFonts w:cstheme="minorHAnsi"/>
        </w:rPr>
      </w:pPr>
    </w:p>
    <w:p w14:paraId="4C73D4FF" w14:textId="77777777" w:rsidR="00183F61" w:rsidRPr="003A32EE" w:rsidRDefault="00183F61" w:rsidP="00C421A0">
      <w:pPr>
        <w:spacing w:after="0"/>
        <w:jc w:val="both"/>
        <w:rPr>
          <w:rFonts w:cstheme="minorHAnsi"/>
        </w:rPr>
      </w:pPr>
    </w:p>
    <w:p w14:paraId="12BF2650" w14:textId="77777777" w:rsidR="00183F61" w:rsidRPr="003A32EE" w:rsidRDefault="00183F61" w:rsidP="00C421A0">
      <w:pPr>
        <w:spacing w:after="0"/>
        <w:jc w:val="both"/>
        <w:rPr>
          <w:rFonts w:cstheme="minorHAnsi"/>
        </w:rPr>
      </w:pPr>
    </w:p>
    <w:p w14:paraId="4A2D7F36" w14:textId="77777777" w:rsidR="00183F61" w:rsidRPr="003A32EE" w:rsidRDefault="00183F61" w:rsidP="00C421A0">
      <w:pPr>
        <w:spacing w:after="0"/>
        <w:jc w:val="both"/>
        <w:rPr>
          <w:rFonts w:cstheme="minorHAnsi"/>
        </w:rPr>
      </w:pPr>
    </w:p>
    <w:p w14:paraId="4E7624A4" w14:textId="77777777" w:rsidR="00183F61" w:rsidRPr="003A32EE" w:rsidRDefault="00183F61" w:rsidP="00C421A0">
      <w:pPr>
        <w:spacing w:after="0"/>
        <w:jc w:val="both"/>
        <w:rPr>
          <w:rFonts w:cstheme="minorHAnsi"/>
        </w:rPr>
      </w:pPr>
    </w:p>
    <w:p w14:paraId="2568823E" w14:textId="77777777" w:rsidR="00183F61" w:rsidRPr="003A32EE" w:rsidRDefault="00183F61" w:rsidP="00C421A0">
      <w:pPr>
        <w:spacing w:after="0"/>
        <w:jc w:val="both"/>
        <w:rPr>
          <w:rFonts w:cstheme="minorHAnsi"/>
        </w:rPr>
      </w:pPr>
    </w:p>
    <w:p w14:paraId="3559561F" w14:textId="77777777" w:rsidR="00183F61" w:rsidRPr="003A32EE" w:rsidRDefault="00183F61" w:rsidP="00C421A0">
      <w:pPr>
        <w:spacing w:after="0"/>
        <w:jc w:val="both"/>
        <w:rPr>
          <w:rFonts w:cstheme="minorHAnsi"/>
        </w:rPr>
      </w:pPr>
    </w:p>
    <w:p w14:paraId="3F49B5AF" w14:textId="77777777" w:rsidR="00183F61" w:rsidRPr="003A32EE" w:rsidRDefault="00183F61" w:rsidP="00C421A0">
      <w:pPr>
        <w:spacing w:after="0"/>
        <w:jc w:val="both"/>
        <w:rPr>
          <w:rFonts w:cstheme="minorHAnsi"/>
        </w:rPr>
      </w:pPr>
    </w:p>
    <w:p w14:paraId="09CBCCED" w14:textId="77777777" w:rsidR="00183F61" w:rsidRPr="00491E5A" w:rsidRDefault="00183F61" w:rsidP="00C421A0">
      <w:pPr>
        <w:spacing w:after="0"/>
        <w:jc w:val="both"/>
        <w:rPr>
          <w:rFonts w:cstheme="minorHAnsi"/>
          <w:sz w:val="20"/>
          <w:szCs w:val="20"/>
        </w:rPr>
      </w:pPr>
      <w:r w:rsidRPr="00491E5A">
        <w:rPr>
          <w:rFonts w:cstheme="minorHAnsi"/>
          <w:sz w:val="20"/>
          <w:szCs w:val="20"/>
        </w:rPr>
        <w:t>CBS, Centrum voor Beleidsstatistiek</w:t>
      </w:r>
    </w:p>
    <w:p w14:paraId="6A81451C" w14:textId="1AA71A03" w:rsidR="00183F61" w:rsidRPr="00C421A0" w:rsidRDefault="002F567C" w:rsidP="00C421A0">
      <w:pPr>
        <w:spacing w:after="0"/>
        <w:jc w:val="both"/>
        <w:rPr>
          <w:rFonts w:cstheme="minorHAnsi"/>
        </w:rPr>
      </w:pPr>
      <w:r w:rsidRPr="00491E5A">
        <w:rPr>
          <w:rFonts w:cstheme="minorHAnsi"/>
          <w:sz w:val="20"/>
          <w:szCs w:val="20"/>
        </w:rPr>
        <w:t>A</w:t>
      </w:r>
      <w:r w:rsidR="00A01802" w:rsidRPr="00491E5A">
        <w:rPr>
          <w:rFonts w:cstheme="minorHAnsi"/>
          <w:sz w:val="20"/>
          <w:szCs w:val="20"/>
        </w:rPr>
        <w:t>pril</w:t>
      </w:r>
      <w:r w:rsidR="0044424E" w:rsidRPr="00491E5A">
        <w:rPr>
          <w:rFonts w:cstheme="minorHAnsi"/>
          <w:sz w:val="20"/>
          <w:szCs w:val="20"/>
        </w:rPr>
        <w:t xml:space="preserve"> 201</w:t>
      </w:r>
      <w:r w:rsidR="00A01802" w:rsidRPr="00491E5A">
        <w:rPr>
          <w:rFonts w:cstheme="minorHAnsi"/>
          <w:sz w:val="20"/>
          <w:szCs w:val="20"/>
        </w:rPr>
        <w:t>9</w:t>
      </w:r>
      <w:r w:rsidR="00183F61" w:rsidRPr="003A32EE">
        <w:rPr>
          <w:rFonts w:cstheme="minorHAnsi"/>
        </w:rPr>
        <w:br w:type="page"/>
      </w:r>
    </w:p>
    <w:p w14:paraId="0327E479" w14:textId="460AFDC8" w:rsidR="00183F61" w:rsidRDefault="00183F61" w:rsidP="00C421A0">
      <w:pPr>
        <w:spacing w:after="0"/>
        <w:jc w:val="both"/>
        <w:rPr>
          <w:rFonts w:cstheme="minorHAnsi"/>
          <w:sz w:val="16"/>
          <w:szCs w:val="16"/>
        </w:rPr>
      </w:pPr>
    </w:p>
    <w:p w14:paraId="2EB6CB88" w14:textId="0FE13383" w:rsidR="00AC20FE" w:rsidRDefault="00AC20FE" w:rsidP="00C421A0">
      <w:pPr>
        <w:spacing w:after="0"/>
        <w:jc w:val="both"/>
        <w:rPr>
          <w:rFonts w:cstheme="minorHAnsi"/>
          <w:sz w:val="16"/>
          <w:szCs w:val="16"/>
        </w:rPr>
      </w:pPr>
    </w:p>
    <w:p w14:paraId="4D81D492" w14:textId="32885448" w:rsidR="00AC20FE" w:rsidRDefault="00AC20FE" w:rsidP="00C421A0">
      <w:pPr>
        <w:spacing w:after="0"/>
        <w:jc w:val="both"/>
        <w:rPr>
          <w:rFonts w:cstheme="minorHAnsi"/>
          <w:sz w:val="16"/>
          <w:szCs w:val="16"/>
        </w:rPr>
      </w:pPr>
    </w:p>
    <w:p w14:paraId="331620E1" w14:textId="3CF51FCC" w:rsidR="00AC20FE" w:rsidRDefault="00AC20FE" w:rsidP="00C421A0">
      <w:pPr>
        <w:spacing w:after="0"/>
        <w:jc w:val="both"/>
        <w:rPr>
          <w:rFonts w:cstheme="minorHAnsi"/>
          <w:sz w:val="16"/>
          <w:szCs w:val="16"/>
        </w:rPr>
      </w:pPr>
    </w:p>
    <w:p w14:paraId="22D1B2FF" w14:textId="02B874C4" w:rsidR="00AC20FE" w:rsidRDefault="00AC20FE" w:rsidP="00C421A0">
      <w:pPr>
        <w:spacing w:after="0"/>
        <w:jc w:val="both"/>
        <w:rPr>
          <w:rFonts w:cstheme="minorHAnsi"/>
          <w:sz w:val="16"/>
          <w:szCs w:val="16"/>
        </w:rPr>
      </w:pPr>
    </w:p>
    <w:p w14:paraId="796435ED" w14:textId="1D7419A2" w:rsidR="00AC20FE" w:rsidRDefault="00AC20FE" w:rsidP="00C421A0">
      <w:pPr>
        <w:spacing w:after="0"/>
        <w:jc w:val="both"/>
        <w:rPr>
          <w:rFonts w:cstheme="minorHAnsi"/>
          <w:sz w:val="16"/>
          <w:szCs w:val="16"/>
        </w:rPr>
      </w:pPr>
    </w:p>
    <w:p w14:paraId="0A082D74" w14:textId="6E8E446D" w:rsidR="00AC20FE" w:rsidRDefault="00AC20FE" w:rsidP="00C421A0">
      <w:pPr>
        <w:spacing w:after="0"/>
        <w:jc w:val="both"/>
        <w:rPr>
          <w:rFonts w:cstheme="minorHAnsi"/>
          <w:sz w:val="16"/>
          <w:szCs w:val="16"/>
        </w:rPr>
      </w:pPr>
    </w:p>
    <w:p w14:paraId="62E40321" w14:textId="0D42E712" w:rsidR="00AC20FE" w:rsidRDefault="00AC20FE" w:rsidP="00C421A0">
      <w:pPr>
        <w:spacing w:after="0"/>
        <w:jc w:val="both"/>
        <w:rPr>
          <w:rFonts w:cstheme="minorHAnsi"/>
          <w:sz w:val="16"/>
          <w:szCs w:val="16"/>
        </w:rPr>
      </w:pPr>
    </w:p>
    <w:p w14:paraId="5AA75895" w14:textId="4ED14B42" w:rsidR="00AC20FE" w:rsidRDefault="00AC20FE" w:rsidP="00C421A0">
      <w:pPr>
        <w:spacing w:after="0"/>
        <w:jc w:val="both"/>
        <w:rPr>
          <w:rFonts w:cstheme="minorHAnsi"/>
          <w:sz w:val="16"/>
          <w:szCs w:val="16"/>
        </w:rPr>
      </w:pPr>
    </w:p>
    <w:p w14:paraId="4E41013C" w14:textId="1FCEE9FA" w:rsidR="00AC20FE" w:rsidRDefault="00AC20FE" w:rsidP="00C421A0">
      <w:pPr>
        <w:spacing w:after="0"/>
        <w:jc w:val="both"/>
        <w:rPr>
          <w:rFonts w:cstheme="minorHAnsi"/>
          <w:sz w:val="16"/>
          <w:szCs w:val="16"/>
        </w:rPr>
      </w:pPr>
    </w:p>
    <w:p w14:paraId="5FF2D1C4" w14:textId="09F01A7E" w:rsidR="00AC20FE" w:rsidRDefault="00AC20FE" w:rsidP="00C421A0">
      <w:pPr>
        <w:spacing w:after="0"/>
        <w:jc w:val="both"/>
        <w:rPr>
          <w:rFonts w:cstheme="minorHAnsi"/>
          <w:sz w:val="16"/>
          <w:szCs w:val="16"/>
        </w:rPr>
      </w:pPr>
    </w:p>
    <w:p w14:paraId="5B351509" w14:textId="75C6C209" w:rsidR="00AC20FE" w:rsidRDefault="00AC20FE" w:rsidP="00C421A0">
      <w:pPr>
        <w:spacing w:after="0"/>
        <w:jc w:val="both"/>
        <w:rPr>
          <w:rFonts w:cstheme="minorHAnsi"/>
          <w:sz w:val="16"/>
          <w:szCs w:val="16"/>
        </w:rPr>
      </w:pPr>
    </w:p>
    <w:p w14:paraId="650ED9EA" w14:textId="1D9BE959" w:rsidR="00AC20FE" w:rsidRDefault="00AC20FE" w:rsidP="00C421A0">
      <w:pPr>
        <w:spacing w:after="0"/>
        <w:jc w:val="both"/>
        <w:rPr>
          <w:rFonts w:cstheme="minorHAnsi"/>
          <w:sz w:val="16"/>
          <w:szCs w:val="16"/>
        </w:rPr>
      </w:pPr>
    </w:p>
    <w:p w14:paraId="0153CF42" w14:textId="0016775A" w:rsidR="00AC20FE" w:rsidRDefault="00AC20FE" w:rsidP="00C421A0">
      <w:pPr>
        <w:spacing w:after="0"/>
        <w:jc w:val="both"/>
        <w:rPr>
          <w:rFonts w:cstheme="minorHAnsi"/>
          <w:sz w:val="16"/>
          <w:szCs w:val="16"/>
        </w:rPr>
      </w:pPr>
    </w:p>
    <w:p w14:paraId="78ED6480" w14:textId="7571D1F4" w:rsidR="00AC20FE" w:rsidRDefault="00AC20FE" w:rsidP="00C421A0">
      <w:pPr>
        <w:spacing w:after="0"/>
        <w:jc w:val="both"/>
        <w:rPr>
          <w:rFonts w:cstheme="minorHAnsi"/>
          <w:sz w:val="16"/>
          <w:szCs w:val="16"/>
        </w:rPr>
      </w:pPr>
    </w:p>
    <w:p w14:paraId="2A9081D1" w14:textId="102D5C58" w:rsidR="00AC20FE" w:rsidRDefault="00AC20FE" w:rsidP="00C421A0">
      <w:pPr>
        <w:spacing w:after="0"/>
        <w:jc w:val="both"/>
        <w:rPr>
          <w:rFonts w:cstheme="minorHAnsi"/>
          <w:sz w:val="16"/>
          <w:szCs w:val="16"/>
        </w:rPr>
      </w:pPr>
    </w:p>
    <w:p w14:paraId="373C5DC2" w14:textId="40513023" w:rsidR="00AC20FE" w:rsidRDefault="00AC20FE" w:rsidP="00C421A0">
      <w:pPr>
        <w:spacing w:after="0"/>
        <w:jc w:val="both"/>
        <w:rPr>
          <w:rFonts w:cstheme="minorHAnsi"/>
          <w:sz w:val="16"/>
          <w:szCs w:val="16"/>
        </w:rPr>
      </w:pPr>
    </w:p>
    <w:p w14:paraId="05B09419" w14:textId="352E1B56" w:rsidR="00AC20FE" w:rsidRDefault="00AC20FE" w:rsidP="00C421A0">
      <w:pPr>
        <w:spacing w:after="0"/>
        <w:jc w:val="both"/>
        <w:rPr>
          <w:rFonts w:cstheme="minorHAnsi"/>
          <w:sz w:val="16"/>
          <w:szCs w:val="16"/>
        </w:rPr>
      </w:pPr>
    </w:p>
    <w:p w14:paraId="44DB8C9B" w14:textId="2D8E0D2A" w:rsidR="00AC20FE" w:rsidRDefault="00AC20FE" w:rsidP="00C421A0">
      <w:pPr>
        <w:spacing w:after="0"/>
        <w:jc w:val="both"/>
        <w:rPr>
          <w:rFonts w:cstheme="minorHAnsi"/>
          <w:sz w:val="16"/>
          <w:szCs w:val="16"/>
        </w:rPr>
      </w:pPr>
    </w:p>
    <w:p w14:paraId="3D9BDDA6" w14:textId="6A4EC837" w:rsidR="00AC20FE" w:rsidRDefault="00AC20FE" w:rsidP="00C421A0">
      <w:pPr>
        <w:spacing w:after="0"/>
        <w:jc w:val="both"/>
        <w:rPr>
          <w:rFonts w:cstheme="minorHAnsi"/>
          <w:sz w:val="16"/>
          <w:szCs w:val="16"/>
        </w:rPr>
      </w:pPr>
    </w:p>
    <w:p w14:paraId="6B63CA88" w14:textId="77777777" w:rsidR="00AC20FE" w:rsidRDefault="00AC20FE" w:rsidP="00C421A0">
      <w:pPr>
        <w:spacing w:after="0"/>
        <w:jc w:val="both"/>
        <w:rPr>
          <w:rFonts w:cstheme="minorHAnsi"/>
          <w:sz w:val="16"/>
          <w:szCs w:val="16"/>
        </w:rPr>
      </w:pPr>
    </w:p>
    <w:p w14:paraId="2C74ABAF" w14:textId="77777777" w:rsidR="00B32A3D" w:rsidRDefault="00B32A3D" w:rsidP="00C421A0">
      <w:pPr>
        <w:spacing w:after="0"/>
        <w:jc w:val="both"/>
        <w:rPr>
          <w:rFonts w:cstheme="minorHAnsi"/>
          <w:sz w:val="16"/>
          <w:szCs w:val="16"/>
        </w:rPr>
      </w:pPr>
    </w:p>
    <w:p w14:paraId="12EB151F" w14:textId="77777777" w:rsidR="00B32A3D" w:rsidRDefault="00B32A3D" w:rsidP="00C421A0">
      <w:pPr>
        <w:spacing w:after="0"/>
        <w:jc w:val="both"/>
        <w:rPr>
          <w:rFonts w:cstheme="minorHAnsi"/>
          <w:sz w:val="16"/>
          <w:szCs w:val="16"/>
        </w:rPr>
      </w:pPr>
    </w:p>
    <w:p w14:paraId="5F9607BF" w14:textId="77777777" w:rsidR="00B32A3D" w:rsidRDefault="00B32A3D" w:rsidP="00C421A0">
      <w:pPr>
        <w:spacing w:after="0"/>
        <w:jc w:val="both"/>
        <w:rPr>
          <w:rFonts w:cstheme="minorHAnsi"/>
          <w:sz w:val="16"/>
          <w:szCs w:val="16"/>
        </w:rPr>
      </w:pPr>
    </w:p>
    <w:p w14:paraId="19B42127" w14:textId="77777777" w:rsidR="00B32A3D" w:rsidRDefault="00B32A3D" w:rsidP="00C421A0">
      <w:pPr>
        <w:spacing w:after="0"/>
        <w:jc w:val="both"/>
        <w:rPr>
          <w:rFonts w:cstheme="minorHAnsi"/>
          <w:sz w:val="16"/>
          <w:szCs w:val="16"/>
        </w:rPr>
      </w:pPr>
    </w:p>
    <w:p w14:paraId="2E6884D3" w14:textId="77777777" w:rsidR="00B32A3D" w:rsidRDefault="00B32A3D" w:rsidP="00C421A0">
      <w:pPr>
        <w:spacing w:after="0"/>
        <w:jc w:val="both"/>
        <w:rPr>
          <w:rFonts w:cstheme="minorHAnsi"/>
          <w:sz w:val="16"/>
          <w:szCs w:val="16"/>
        </w:rPr>
      </w:pPr>
    </w:p>
    <w:p w14:paraId="7ABC5A35" w14:textId="77777777" w:rsidR="00B32A3D" w:rsidRDefault="00B32A3D" w:rsidP="00C421A0">
      <w:pPr>
        <w:spacing w:after="0"/>
        <w:jc w:val="both"/>
        <w:rPr>
          <w:rFonts w:cstheme="minorHAnsi"/>
          <w:sz w:val="16"/>
          <w:szCs w:val="16"/>
        </w:rPr>
      </w:pPr>
    </w:p>
    <w:p w14:paraId="26DD8F01" w14:textId="77777777" w:rsidR="00B32A3D" w:rsidRDefault="00B32A3D" w:rsidP="00C421A0">
      <w:pPr>
        <w:spacing w:after="0"/>
        <w:jc w:val="both"/>
        <w:rPr>
          <w:rFonts w:cstheme="minorHAnsi"/>
          <w:sz w:val="16"/>
          <w:szCs w:val="16"/>
        </w:rPr>
      </w:pPr>
    </w:p>
    <w:p w14:paraId="1CC3D4A2" w14:textId="77777777" w:rsidR="00B32A3D" w:rsidRDefault="00B32A3D" w:rsidP="00C421A0">
      <w:pPr>
        <w:spacing w:after="0"/>
        <w:jc w:val="both"/>
        <w:rPr>
          <w:rFonts w:cstheme="minorHAnsi"/>
          <w:sz w:val="16"/>
          <w:szCs w:val="16"/>
        </w:rPr>
      </w:pPr>
    </w:p>
    <w:p w14:paraId="1FC11854" w14:textId="77777777" w:rsidR="00B32A3D" w:rsidRDefault="00B32A3D" w:rsidP="00C421A0">
      <w:pPr>
        <w:spacing w:after="0"/>
        <w:jc w:val="both"/>
        <w:rPr>
          <w:rFonts w:cstheme="minorHAnsi"/>
          <w:sz w:val="16"/>
          <w:szCs w:val="16"/>
        </w:rPr>
      </w:pPr>
    </w:p>
    <w:p w14:paraId="4DCF2150" w14:textId="77777777" w:rsidR="00B32A3D" w:rsidRDefault="00B32A3D" w:rsidP="00C421A0">
      <w:pPr>
        <w:spacing w:after="0"/>
        <w:jc w:val="both"/>
        <w:rPr>
          <w:rFonts w:cstheme="minorHAnsi"/>
          <w:sz w:val="16"/>
          <w:szCs w:val="16"/>
        </w:rPr>
      </w:pPr>
    </w:p>
    <w:p w14:paraId="1E3DC8E4" w14:textId="77777777" w:rsidR="00B32A3D" w:rsidRDefault="00B32A3D" w:rsidP="00C421A0">
      <w:pPr>
        <w:spacing w:after="0"/>
        <w:jc w:val="both"/>
        <w:rPr>
          <w:rFonts w:cstheme="minorHAnsi"/>
          <w:sz w:val="16"/>
          <w:szCs w:val="16"/>
        </w:rPr>
      </w:pPr>
    </w:p>
    <w:p w14:paraId="161B1A5D" w14:textId="77777777" w:rsidR="00B32A3D" w:rsidRDefault="00B32A3D" w:rsidP="00C421A0">
      <w:pPr>
        <w:spacing w:after="0"/>
        <w:jc w:val="both"/>
        <w:rPr>
          <w:rFonts w:cstheme="minorHAnsi"/>
          <w:sz w:val="16"/>
          <w:szCs w:val="16"/>
        </w:rPr>
      </w:pPr>
    </w:p>
    <w:p w14:paraId="28CF27D8" w14:textId="77777777" w:rsidR="00B32A3D" w:rsidRDefault="00B32A3D" w:rsidP="00C421A0">
      <w:pPr>
        <w:spacing w:after="0"/>
        <w:jc w:val="both"/>
        <w:rPr>
          <w:rFonts w:cstheme="minorHAnsi"/>
          <w:sz w:val="16"/>
          <w:szCs w:val="16"/>
        </w:rPr>
      </w:pPr>
    </w:p>
    <w:p w14:paraId="2E385CF1" w14:textId="77777777" w:rsidR="00B32A3D" w:rsidRDefault="00B32A3D" w:rsidP="00C421A0">
      <w:pPr>
        <w:spacing w:after="0"/>
        <w:jc w:val="both"/>
        <w:rPr>
          <w:rFonts w:cstheme="minorHAnsi"/>
          <w:sz w:val="16"/>
          <w:szCs w:val="16"/>
        </w:rPr>
      </w:pPr>
    </w:p>
    <w:p w14:paraId="43524A5D" w14:textId="77777777" w:rsidR="00B32A3D" w:rsidRDefault="00B32A3D" w:rsidP="00C421A0">
      <w:pPr>
        <w:spacing w:after="0"/>
        <w:jc w:val="both"/>
        <w:rPr>
          <w:rFonts w:cstheme="minorHAnsi"/>
          <w:sz w:val="16"/>
          <w:szCs w:val="16"/>
        </w:rPr>
      </w:pPr>
    </w:p>
    <w:p w14:paraId="46FBB032" w14:textId="77777777" w:rsidR="00B32A3D" w:rsidRDefault="00B32A3D" w:rsidP="00C421A0">
      <w:pPr>
        <w:spacing w:after="0"/>
        <w:jc w:val="both"/>
        <w:rPr>
          <w:rFonts w:cstheme="minorHAnsi"/>
          <w:sz w:val="16"/>
          <w:szCs w:val="16"/>
        </w:rPr>
      </w:pPr>
    </w:p>
    <w:p w14:paraId="40A342E9" w14:textId="77777777" w:rsidR="00B32A3D" w:rsidRDefault="00B32A3D" w:rsidP="00C421A0">
      <w:pPr>
        <w:spacing w:after="0"/>
        <w:jc w:val="both"/>
        <w:rPr>
          <w:rFonts w:cstheme="minorHAnsi"/>
          <w:sz w:val="16"/>
          <w:szCs w:val="16"/>
        </w:rPr>
      </w:pPr>
    </w:p>
    <w:p w14:paraId="524AA8D4" w14:textId="77777777" w:rsidR="00B32A3D" w:rsidRDefault="00B32A3D" w:rsidP="00C421A0">
      <w:pPr>
        <w:spacing w:after="0"/>
        <w:jc w:val="both"/>
        <w:rPr>
          <w:rFonts w:cstheme="minorHAnsi"/>
          <w:sz w:val="16"/>
          <w:szCs w:val="16"/>
        </w:rPr>
      </w:pPr>
    </w:p>
    <w:p w14:paraId="153BB219" w14:textId="77777777" w:rsidR="00B32A3D" w:rsidRDefault="00B32A3D" w:rsidP="00C421A0">
      <w:pPr>
        <w:spacing w:after="0"/>
        <w:jc w:val="both"/>
        <w:rPr>
          <w:rFonts w:cstheme="minorHAnsi"/>
          <w:sz w:val="16"/>
          <w:szCs w:val="16"/>
        </w:rPr>
      </w:pPr>
    </w:p>
    <w:p w14:paraId="2E2C1DD5" w14:textId="77777777" w:rsidR="00B32A3D" w:rsidRDefault="00B32A3D" w:rsidP="00C421A0">
      <w:pPr>
        <w:spacing w:after="0"/>
        <w:jc w:val="both"/>
        <w:rPr>
          <w:rFonts w:cstheme="minorHAnsi"/>
          <w:sz w:val="16"/>
          <w:szCs w:val="16"/>
        </w:rPr>
      </w:pPr>
    </w:p>
    <w:p w14:paraId="6D81496C" w14:textId="77777777" w:rsidR="00B32A3D" w:rsidRDefault="00B32A3D" w:rsidP="00C421A0">
      <w:pPr>
        <w:spacing w:after="0"/>
        <w:jc w:val="both"/>
        <w:rPr>
          <w:rFonts w:cstheme="minorHAnsi"/>
          <w:sz w:val="16"/>
          <w:szCs w:val="16"/>
        </w:rPr>
      </w:pPr>
    </w:p>
    <w:p w14:paraId="13EA944C" w14:textId="77777777" w:rsidR="00B32A3D" w:rsidRDefault="00B32A3D" w:rsidP="00C421A0">
      <w:pPr>
        <w:spacing w:after="0"/>
        <w:jc w:val="both"/>
        <w:rPr>
          <w:rFonts w:cstheme="minorHAnsi"/>
          <w:sz w:val="16"/>
          <w:szCs w:val="16"/>
        </w:rPr>
      </w:pPr>
    </w:p>
    <w:p w14:paraId="2947D5FE" w14:textId="77777777" w:rsidR="00B32A3D" w:rsidRDefault="00B32A3D" w:rsidP="00C421A0">
      <w:pPr>
        <w:spacing w:after="0"/>
        <w:jc w:val="both"/>
        <w:rPr>
          <w:rFonts w:cstheme="minorHAnsi"/>
          <w:sz w:val="16"/>
          <w:szCs w:val="16"/>
        </w:rPr>
      </w:pPr>
    </w:p>
    <w:p w14:paraId="64B4AE95" w14:textId="77777777" w:rsidR="00B32A3D" w:rsidRDefault="00B32A3D" w:rsidP="00C421A0">
      <w:pPr>
        <w:spacing w:after="0"/>
        <w:jc w:val="both"/>
        <w:rPr>
          <w:rFonts w:cstheme="minorHAnsi"/>
          <w:sz w:val="16"/>
          <w:szCs w:val="16"/>
        </w:rPr>
      </w:pPr>
    </w:p>
    <w:p w14:paraId="029A653F" w14:textId="77777777" w:rsidR="00B32A3D" w:rsidRDefault="00B32A3D" w:rsidP="00C421A0">
      <w:pPr>
        <w:spacing w:after="0"/>
        <w:jc w:val="both"/>
        <w:rPr>
          <w:rFonts w:cstheme="minorHAnsi"/>
          <w:sz w:val="16"/>
          <w:szCs w:val="16"/>
        </w:rPr>
      </w:pPr>
    </w:p>
    <w:p w14:paraId="782AD090" w14:textId="77777777" w:rsidR="00183F61" w:rsidRPr="003A32EE" w:rsidRDefault="00183F61" w:rsidP="00C421A0">
      <w:pPr>
        <w:spacing w:after="0"/>
        <w:jc w:val="both"/>
        <w:rPr>
          <w:rFonts w:cstheme="minorHAnsi"/>
          <w:sz w:val="16"/>
          <w:szCs w:val="16"/>
        </w:rPr>
      </w:pPr>
      <w:r w:rsidRPr="003A32EE">
        <w:rPr>
          <w:rFonts w:cstheme="minorHAnsi"/>
          <w:sz w:val="16"/>
          <w:szCs w:val="16"/>
        </w:rPr>
        <w:t>Verklaring van tekens</w:t>
      </w:r>
      <w:r w:rsidRPr="003A32EE">
        <w:rPr>
          <w:rFonts w:cstheme="minorHAnsi"/>
          <w:sz w:val="16"/>
          <w:szCs w:val="16"/>
        </w:rPr>
        <w:tab/>
      </w:r>
    </w:p>
    <w:p w14:paraId="1D902ABD" w14:textId="77777777" w:rsidR="00720AF4" w:rsidRPr="00720AF4" w:rsidRDefault="00720AF4" w:rsidP="00C421A0">
      <w:pPr>
        <w:spacing w:after="0"/>
        <w:jc w:val="both"/>
        <w:rPr>
          <w:rFonts w:cstheme="minorHAnsi"/>
          <w:sz w:val="16"/>
          <w:szCs w:val="16"/>
        </w:rPr>
      </w:pPr>
      <w:r w:rsidRPr="00720AF4">
        <w:rPr>
          <w:rFonts w:cstheme="minorHAnsi"/>
          <w:sz w:val="16"/>
          <w:szCs w:val="16"/>
        </w:rPr>
        <w:t>niets (blanco) = het cijfer kan op logische gronden niet voorkomen</w:t>
      </w:r>
      <w:r w:rsidRPr="00720AF4">
        <w:rPr>
          <w:rFonts w:cstheme="minorHAnsi"/>
          <w:sz w:val="16"/>
          <w:szCs w:val="16"/>
        </w:rPr>
        <w:tab/>
      </w:r>
    </w:p>
    <w:p w14:paraId="3EC459F8" w14:textId="77777777" w:rsidR="00720AF4" w:rsidRPr="00720AF4" w:rsidRDefault="00720AF4" w:rsidP="00C421A0">
      <w:pPr>
        <w:spacing w:after="0"/>
        <w:jc w:val="both"/>
        <w:rPr>
          <w:rFonts w:cstheme="minorHAnsi"/>
          <w:sz w:val="16"/>
          <w:szCs w:val="16"/>
        </w:rPr>
      </w:pPr>
      <w:r w:rsidRPr="00720AF4">
        <w:rPr>
          <w:rFonts w:cstheme="minorHAnsi"/>
          <w:sz w:val="16"/>
          <w:szCs w:val="16"/>
        </w:rPr>
        <w:t>. = het cijfer is onbekend, onvoldoende betrouwbaar of geheim</w:t>
      </w:r>
      <w:r w:rsidRPr="00720AF4">
        <w:rPr>
          <w:rFonts w:cstheme="minorHAnsi"/>
          <w:sz w:val="16"/>
          <w:szCs w:val="16"/>
        </w:rPr>
        <w:tab/>
      </w:r>
    </w:p>
    <w:p w14:paraId="0DBC599C" w14:textId="77777777" w:rsidR="00720AF4" w:rsidRPr="00720AF4" w:rsidRDefault="00720AF4" w:rsidP="00C421A0">
      <w:pPr>
        <w:spacing w:after="0"/>
        <w:jc w:val="both"/>
        <w:rPr>
          <w:rFonts w:cstheme="minorHAnsi"/>
          <w:sz w:val="16"/>
          <w:szCs w:val="16"/>
        </w:rPr>
      </w:pPr>
      <w:r w:rsidRPr="00720AF4">
        <w:rPr>
          <w:rFonts w:cstheme="minorHAnsi"/>
          <w:sz w:val="16"/>
          <w:szCs w:val="16"/>
        </w:rPr>
        <w:t>* = voorlopige cijfers</w:t>
      </w:r>
      <w:r w:rsidRPr="00720AF4">
        <w:rPr>
          <w:rFonts w:cstheme="minorHAnsi"/>
          <w:sz w:val="16"/>
          <w:szCs w:val="16"/>
        </w:rPr>
        <w:tab/>
      </w:r>
    </w:p>
    <w:p w14:paraId="0DC67956" w14:textId="77777777" w:rsidR="00720AF4" w:rsidRPr="00720AF4" w:rsidRDefault="00720AF4" w:rsidP="00C421A0">
      <w:pPr>
        <w:spacing w:after="0"/>
        <w:jc w:val="both"/>
        <w:rPr>
          <w:rFonts w:cstheme="minorHAnsi"/>
          <w:sz w:val="16"/>
          <w:szCs w:val="16"/>
        </w:rPr>
      </w:pPr>
      <w:r w:rsidRPr="00720AF4">
        <w:rPr>
          <w:rFonts w:cstheme="minorHAnsi"/>
          <w:sz w:val="16"/>
          <w:szCs w:val="16"/>
        </w:rPr>
        <w:t>** = nader voorlopige cijfers</w:t>
      </w:r>
      <w:r w:rsidRPr="00720AF4">
        <w:rPr>
          <w:rFonts w:cstheme="minorHAnsi"/>
          <w:sz w:val="16"/>
          <w:szCs w:val="16"/>
        </w:rPr>
        <w:tab/>
      </w:r>
    </w:p>
    <w:p w14:paraId="12298C8C" w14:textId="77777777" w:rsidR="00720AF4" w:rsidRPr="00720AF4" w:rsidRDefault="00720AF4" w:rsidP="00C421A0">
      <w:pPr>
        <w:spacing w:after="0"/>
        <w:jc w:val="both"/>
        <w:rPr>
          <w:rFonts w:cstheme="minorHAnsi"/>
          <w:sz w:val="16"/>
          <w:szCs w:val="16"/>
        </w:rPr>
      </w:pPr>
      <w:r w:rsidRPr="00720AF4">
        <w:rPr>
          <w:rFonts w:cstheme="minorHAnsi"/>
          <w:sz w:val="16"/>
          <w:szCs w:val="16"/>
        </w:rPr>
        <w:t>2016–2017 = 2016 tot en met 2017</w:t>
      </w:r>
      <w:r w:rsidRPr="00720AF4">
        <w:rPr>
          <w:rFonts w:cstheme="minorHAnsi"/>
          <w:sz w:val="16"/>
          <w:szCs w:val="16"/>
        </w:rPr>
        <w:tab/>
      </w:r>
    </w:p>
    <w:p w14:paraId="5F018217" w14:textId="77777777" w:rsidR="00720AF4" w:rsidRPr="00720AF4" w:rsidRDefault="00720AF4" w:rsidP="00C421A0">
      <w:pPr>
        <w:spacing w:after="0"/>
        <w:jc w:val="both"/>
        <w:rPr>
          <w:rFonts w:cstheme="minorHAnsi"/>
          <w:sz w:val="16"/>
          <w:szCs w:val="16"/>
        </w:rPr>
      </w:pPr>
      <w:r w:rsidRPr="00720AF4">
        <w:rPr>
          <w:rFonts w:cstheme="minorHAnsi"/>
          <w:sz w:val="16"/>
          <w:szCs w:val="16"/>
        </w:rPr>
        <w:t>2016/2017 = het gemiddelde over de jaren 2016 tot en met 2017</w:t>
      </w:r>
      <w:r w:rsidRPr="00720AF4">
        <w:rPr>
          <w:rFonts w:cstheme="minorHAnsi"/>
          <w:sz w:val="16"/>
          <w:szCs w:val="16"/>
        </w:rPr>
        <w:tab/>
      </w:r>
    </w:p>
    <w:p w14:paraId="57E8A524" w14:textId="77777777" w:rsidR="00720AF4" w:rsidRPr="00720AF4" w:rsidRDefault="00720AF4" w:rsidP="00C421A0">
      <w:pPr>
        <w:spacing w:after="0"/>
        <w:jc w:val="both"/>
        <w:rPr>
          <w:rFonts w:cstheme="minorHAnsi"/>
          <w:sz w:val="16"/>
          <w:szCs w:val="16"/>
        </w:rPr>
      </w:pPr>
      <w:r w:rsidRPr="00720AF4">
        <w:rPr>
          <w:rFonts w:cstheme="minorHAnsi"/>
          <w:sz w:val="16"/>
          <w:szCs w:val="16"/>
        </w:rPr>
        <w:t>2016/’17 = oogstjaar, boekjaar, schooljaar enz., beginnend in 2016 en eindigend in 2017</w:t>
      </w:r>
      <w:r w:rsidRPr="00720AF4">
        <w:rPr>
          <w:rFonts w:cstheme="minorHAnsi"/>
          <w:sz w:val="16"/>
          <w:szCs w:val="16"/>
        </w:rPr>
        <w:tab/>
      </w:r>
    </w:p>
    <w:p w14:paraId="1314286D" w14:textId="77777777" w:rsidR="00720AF4" w:rsidRPr="00720AF4" w:rsidRDefault="00720AF4" w:rsidP="00C421A0">
      <w:pPr>
        <w:spacing w:after="0"/>
        <w:jc w:val="both"/>
        <w:rPr>
          <w:rFonts w:cstheme="minorHAnsi"/>
          <w:sz w:val="16"/>
          <w:szCs w:val="16"/>
        </w:rPr>
      </w:pPr>
      <w:r w:rsidRPr="00720AF4">
        <w:rPr>
          <w:rFonts w:cstheme="minorHAnsi"/>
          <w:sz w:val="16"/>
          <w:szCs w:val="16"/>
        </w:rPr>
        <w:t>2014/’15–2016/’17 = oogstjaar, boekjaar enz., 2014/’15 tot en met 2016/’17</w:t>
      </w:r>
      <w:r w:rsidRPr="00720AF4">
        <w:rPr>
          <w:rFonts w:cstheme="minorHAnsi"/>
          <w:sz w:val="16"/>
          <w:szCs w:val="16"/>
        </w:rPr>
        <w:tab/>
      </w:r>
    </w:p>
    <w:p w14:paraId="075FA8FB" w14:textId="77777777" w:rsidR="00720AF4" w:rsidRPr="00720AF4" w:rsidRDefault="00720AF4" w:rsidP="00C421A0">
      <w:pPr>
        <w:spacing w:after="0"/>
        <w:jc w:val="both"/>
        <w:rPr>
          <w:rFonts w:cstheme="minorHAnsi"/>
          <w:sz w:val="16"/>
          <w:szCs w:val="16"/>
        </w:rPr>
      </w:pPr>
      <w:r w:rsidRPr="00720AF4">
        <w:rPr>
          <w:rFonts w:cstheme="minorHAnsi"/>
          <w:sz w:val="16"/>
          <w:szCs w:val="16"/>
        </w:rPr>
        <w:t>In geval van afronding kan het voorkomen dat het weergegeven totaal niet overeenstemt met de som</w:t>
      </w:r>
      <w:r w:rsidRPr="00720AF4">
        <w:rPr>
          <w:rFonts w:cstheme="minorHAnsi"/>
          <w:sz w:val="16"/>
          <w:szCs w:val="16"/>
        </w:rPr>
        <w:tab/>
      </w:r>
    </w:p>
    <w:p w14:paraId="7BE24E51" w14:textId="77777777" w:rsidR="00183F61" w:rsidRPr="003A32EE" w:rsidRDefault="00720AF4" w:rsidP="00C421A0">
      <w:pPr>
        <w:spacing w:after="0"/>
        <w:jc w:val="both"/>
        <w:rPr>
          <w:rFonts w:cstheme="minorHAnsi"/>
          <w:sz w:val="16"/>
          <w:szCs w:val="16"/>
        </w:rPr>
      </w:pPr>
      <w:r w:rsidRPr="00720AF4">
        <w:rPr>
          <w:rFonts w:cstheme="minorHAnsi"/>
          <w:sz w:val="16"/>
          <w:szCs w:val="16"/>
        </w:rPr>
        <w:t>van de getallen.</w:t>
      </w:r>
      <w:r w:rsidRPr="00720AF4">
        <w:rPr>
          <w:rFonts w:cstheme="minorHAnsi"/>
          <w:sz w:val="16"/>
          <w:szCs w:val="16"/>
        </w:rPr>
        <w:tab/>
      </w:r>
      <w:r w:rsidR="00183F61" w:rsidRPr="003A32EE">
        <w:rPr>
          <w:rFonts w:cstheme="minorHAnsi"/>
          <w:sz w:val="16"/>
          <w:szCs w:val="16"/>
        </w:rPr>
        <w:tab/>
      </w:r>
    </w:p>
    <w:p w14:paraId="33E36EEA" w14:textId="77777777" w:rsidR="00183F61" w:rsidRPr="003A32EE" w:rsidRDefault="00183F61" w:rsidP="00C421A0">
      <w:pPr>
        <w:spacing w:after="0"/>
        <w:jc w:val="both"/>
        <w:rPr>
          <w:rFonts w:cstheme="minorHAnsi"/>
          <w:sz w:val="16"/>
          <w:szCs w:val="16"/>
        </w:rPr>
      </w:pPr>
      <w:r w:rsidRPr="003A32EE">
        <w:rPr>
          <w:rFonts w:cstheme="minorHAnsi"/>
          <w:sz w:val="16"/>
          <w:szCs w:val="16"/>
        </w:rPr>
        <w:tab/>
      </w:r>
    </w:p>
    <w:p w14:paraId="3722D9A8" w14:textId="77777777" w:rsidR="00183F61" w:rsidRPr="003A32EE" w:rsidRDefault="00183F61" w:rsidP="00C421A0">
      <w:pPr>
        <w:spacing w:after="0"/>
        <w:jc w:val="both"/>
        <w:rPr>
          <w:rFonts w:cstheme="minorHAnsi"/>
          <w:sz w:val="16"/>
          <w:szCs w:val="16"/>
        </w:rPr>
      </w:pPr>
      <w:r w:rsidRPr="003A32EE">
        <w:rPr>
          <w:rFonts w:cstheme="minorHAnsi"/>
          <w:sz w:val="16"/>
          <w:szCs w:val="16"/>
        </w:rPr>
        <w:tab/>
      </w:r>
    </w:p>
    <w:p w14:paraId="4F04C2EB" w14:textId="52839521" w:rsidR="00183F61" w:rsidRPr="003A32EE" w:rsidRDefault="00183F61" w:rsidP="00C421A0">
      <w:pPr>
        <w:spacing w:after="0"/>
        <w:jc w:val="both"/>
        <w:rPr>
          <w:rFonts w:cstheme="minorHAnsi"/>
        </w:rPr>
      </w:pPr>
      <w:r w:rsidRPr="003A32EE">
        <w:rPr>
          <w:rFonts w:cstheme="minorHAnsi"/>
          <w:sz w:val="16"/>
          <w:szCs w:val="16"/>
        </w:rPr>
        <w:t xml:space="preserve">Vragen over deze publicatie kunnen gestuurd worden aan het CBS-CvB onder vermelding van het referentienummer </w:t>
      </w:r>
      <w:r w:rsidR="00AC20FE">
        <w:rPr>
          <w:rFonts w:cstheme="minorHAnsi"/>
          <w:sz w:val="16"/>
          <w:szCs w:val="16"/>
        </w:rPr>
        <w:t>190263</w:t>
      </w:r>
      <w:r w:rsidRPr="003A32EE">
        <w:rPr>
          <w:rFonts w:cstheme="minorHAnsi"/>
          <w:sz w:val="16"/>
          <w:szCs w:val="16"/>
        </w:rPr>
        <w:t xml:space="preserve">. Ons e-mailadres is </w:t>
      </w:r>
      <w:hyperlink r:id="rId8" w:history="1">
        <w:r w:rsidRPr="003A32EE">
          <w:rPr>
            <w:rStyle w:val="Hyperlink"/>
            <w:rFonts w:cstheme="minorHAnsi"/>
            <w:sz w:val="16"/>
            <w:szCs w:val="16"/>
          </w:rPr>
          <w:t>maatwerk@cbs.nl</w:t>
        </w:r>
      </w:hyperlink>
      <w:r w:rsidRPr="003A32EE">
        <w:rPr>
          <w:rFonts w:cstheme="minorHAnsi"/>
          <w:sz w:val="16"/>
          <w:szCs w:val="16"/>
        </w:rPr>
        <w:t>.</w:t>
      </w:r>
      <w:r w:rsidRPr="003A32EE">
        <w:rPr>
          <w:rFonts w:cstheme="minorHAnsi"/>
        </w:rPr>
        <w:tab/>
      </w:r>
      <w:r w:rsidRPr="003A32EE">
        <w:rPr>
          <w:rFonts w:cstheme="minorHAnsi"/>
        </w:rPr>
        <w:br w:type="page"/>
      </w:r>
    </w:p>
    <w:p w14:paraId="04B696C1" w14:textId="77777777" w:rsidR="00183F61" w:rsidRPr="003A32EE" w:rsidRDefault="00183F61" w:rsidP="00C421A0">
      <w:pPr>
        <w:pStyle w:val="Geenafstand"/>
        <w:jc w:val="both"/>
        <w:rPr>
          <w:rFonts w:cstheme="minorHAnsi"/>
        </w:rPr>
        <w:sectPr w:rsidR="00183F61" w:rsidRPr="003A32EE">
          <w:footerReference w:type="default" r:id="rId9"/>
          <w:pgSz w:w="11906" w:h="16838"/>
          <w:pgMar w:top="1417" w:right="1417" w:bottom="1417" w:left="1417" w:header="708" w:footer="708" w:gutter="0"/>
          <w:cols w:space="708"/>
          <w:docGrid w:linePitch="360"/>
        </w:sectPr>
      </w:pPr>
    </w:p>
    <w:p w14:paraId="6BC2145F" w14:textId="29949C3A" w:rsidR="00183F61" w:rsidRPr="004609C6" w:rsidRDefault="00183F61" w:rsidP="004609C6">
      <w:pPr>
        <w:rPr>
          <w:b/>
          <w:sz w:val="24"/>
          <w:szCs w:val="24"/>
        </w:rPr>
      </w:pPr>
      <w:r w:rsidRPr="004609C6">
        <w:rPr>
          <w:b/>
          <w:sz w:val="24"/>
          <w:szCs w:val="24"/>
        </w:rPr>
        <w:lastRenderedPageBreak/>
        <w:t xml:space="preserve">Toelichting bij de </w:t>
      </w:r>
      <w:r w:rsidR="00AD2FAD" w:rsidRPr="004609C6">
        <w:rPr>
          <w:b/>
          <w:sz w:val="24"/>
          <w:szCs w:val="24"/>
        </w:rPr>
        <w:t>t</w:t>
      </w:r>
      <w:r w:rsidRPr="004609C6">
        <w:rPr>
          <w:b/>
          <w:sz w:val="24"/>
          <w:szCs w:val="24"/>
        </w:rPr>
        <w:t>abe</w:t>
      </w:r>
      <w:r w:rsidR="00C70402">
        <w:rPr>
          <w:b/>
          <w:sz w:val="24"/>
          <w:szCs w:val="24"/>
        </w:rPr>
        <w:t>l</w:t>
      </w:r>
    </w:p>
    <w:p w14:paraId="4BEA62F5" w14:textId="4699744D" w:rsidR="00183F61" w:rsidRDefault="00183F61" w:rsidP="004609C6">
      <w:pPr>
        <w:rPr>
          <w:b/>
        </w:rPr>
      </w:pPr>
      <w:r w:rsidRPr="004609C6">
        <w:rPr>
          <w:b/>
        </w:rPr>
        <w:t>Inleiding</w:t>
      </w:r>
    </w:p>
    <w:p w14:paraId="4DE9E8FA" w14:textId="22278A3D" w:rsidR="00E722C1" w:rsidRPr="00BA22B5" w:rsidRDefault="00475E7D" w:rsidP="00A233AF">
      <w:pPr>
        <w:jc w:val="both"/>
        <w:rPr>
          <w:sz w:val="20"/>
          <w:szCs w:val="20"/>
        </w:rPr>
      </w:pPr>
      <w:r w:rsidRPr="00475E7D">
        <w:rPr>
          <w:sz w:val="20"/>
          <w:szCs w:val="20"/>
        </w:rPr>
        <w:t>Het ministerie van Onderwijs, Cultuur en Wetenschap (OCW) heeft het Centrum voor Beleidsstatistiek van het Centraal Bureau voor de Statistiek (CvB-CBS) gevraagd om gegevens te leveren over huishoudens waarin minimaal één persoon zich bevindt die in het primair of voortgezet onderwijs werkzaam is.</w:t>
      </w:r>
      <w:r>
        <w:rPr>
          <w:sz w:val="20"/>
          <w:szCs w:val="20"/>
        </w:rPr>
        <w:t xml:space="preserve"> </w:t>
      </w:r>
      <w:r w:rsidR="00E722C1" w:rsidRPr="00BA22B5">
        <w:rPr>
          <w:sz w:val="20"/>
          <w:szCs w:val="20"/>
        </w:rPr>
        <w:t xml:space="preserve">Er is tevens gevraagd om deze gegevens te combineren met hoeveel kinderen er in het huishouden wonen en het bruto huishoudinkomen. </w:t>
      </w:r>
    </w:p>
    <w:p w14:paraId="5B986895" w14:textId="1BA6A314" w:rsidR="00183F61" w:rsidRDefault="00183F61" w:rsidP="004609C6">
      <w:pPr>
        <w:rPr>
          <w:b/>
        </w:rPr>
      </w:pPr>
      <w:r w:rsidRPr="004609C6">
        <w:rPr>
          <w:b/>
        </w:rPr>
        <w:t>Over de tabel</w:t>
      </w:r>
    </w:p>
    <w:p w14:paraId="0D910F02" w14:textId="3C69F0B7" w:rsidR="00273AAC" w:rsidRPr="00BA22B5" w:rsidRDefault="00F95C98" w:rsidP="00A233AF">
      <w:pPr>
        <w:jc w:val="both"/>
        <w:rPr>
          <w:sz w:val="20"/>
          <w:szCs w:val="20"/>
        </w:rPr>
      </w:pPr>
      <w:r w:rsidRPr="00BA22B5">
        <w:rPr>
          <w:sz w:val="20"/>
          <w:szCs w:val="20"/>
        </w:rPr>
        <w:t>De tabel geeft</w:t>
      </w:r>
      <w:r w:rsidR="008A7FDE" w:rsidRPr="00BA22B5">
        <w:rPr>
          <w:sz w:val="20"/>
          <w:szCs w:val="20"/>
        </w:rPr>
        <w:t xml:space="preserve"> de combinatie van de volgende kenmerken</w:t>
      </w:r>
      <w:r w:rsidRPr="00BA22B5">
        <w:rPr>
          <w:sz w:val="20"/>
          <w:szCs w:val="20"/>
        </w:rPr>
        <w:t xml:space="preserve"> weer:</w:t>
      </w:r>
      <w:r w:rsidR="008A7FDE" w:rsidRPr="00BA22B5">
        <w:rPr>
          <w:sz w:val="20"/>
          <w:szCs w:val="20"/>
        </w:rPr>
        <w:t xml:space="preserve"> </w:t>
      </w:r>
      <w:r w:rsidR="00A233AF" w:rsidRPr="00BA22B5">
        <w:rPr>
          <w:sz w:val="20"/>
          <w:szCs w:val="20"/>
        </w:rPr>
        <w:t xml:space="preserve">leeftijd van </w:t>
      </w:r>
      <w:r w:rsidR="008A7FDE" w:rsidRPr="00BA22B5">
        <w:rPr>
          <w:sz w:val="20"/>
          <w:szCs w:val="20"/>
        </w:rPr>
        <w:t xml:space="preserve">kinderen in het huishouden, aantal personen met een inkomen in het huishouden en het bruto huishoudinkomen. </w:t>
      </w:r>
      <w:r w:rsidR="00273AAC" w:rsidRPr="00BA22B5">
        <w:rPr>
          <w:sz w:val="20"/>
          <w:szCs w:val="20"/>
        </w:rPr>
        <w:t xml:space="preserve">Voor alle mogelijke combinaties van bovenstaande kenmerken </w:t>
      </w:r>
      <w:r w:rsidR="00BE766E">
        <w:rPr>
          <w:sz w:val="20"/>
          <w:szCs w:val="20"/>
        </w:rPr>
        <w:t>zijn</w:t>
      </w:r>
      <w:r w:rsidR="00273AAC" w:rsidRPr="00BA22B5">
        <w:rPr>
          <w:sz w:val="20"/>
          <w:szCs w:val="20"/>
        </w:rPr>
        <w:t xml:space="preserve"> het </w:t>
      </w:r>
      <w:r w:rsidR="00E722C1" w:rsidRPr="00BA22B5">
        <w:rPr>
          <w:sz w:val="20"/>
          <w:szCs w:val="20"/>
        </w:rPr>
        <w:t>aantal particuliere huishoudens</w:t>
      </w:r>
      <w:r w:rsidR="00273AAC" w:rsidRPr="00BA22B5">
        <w:rPr>
          <w:sz w:val="20"/>
          <w:szCs w:val="20"/>
        </w:rPr>
        <w:t xml:space="preserve"> en het </w:t>
      </w:r>
      <w:r w:rsidR="00E722C1" w:rsidRPr="00BA22B5">
        <w:rPr>
          <w:sz w:val="20"/>
          <w:szCs w:val="20"/>
        </w:rPr>
        <w:t>aantal hoofdkostwinners dat werkzaam is in het onderwijs</w:t>
      </w:r>
      <w:r w:rsidR="00A233AF" w:rsidRPr="00BA22B5">
        <w:rPr>
          <w:sz w:val="20"/>
          <w:szCs w:val="20"/>
        </w:rPr>
        <w:t xml:space="preserve"> weergegeven</w:t>
      </w:r>
      <w:r w:rsidR="000E0B53" w:rsidRPr="00BA22B5">
        <w:rPr>
          <w:sz w:val="20"/>
          <w:szCs w:val="20"/>
        </w:rPr>
        <w:t xml:space="preserve"> </w:t>
      </w:r>
      <w:r w:rsidR="00486C92" w:rsidRPr="00BA22B5">
        <w:rPr>
          <w:sz w:val="20"/>
          <w:szCs w:val="20"/>
        </w:rPr>
        <w:t>(zowel</w:t>
      </w:r>
      <w:r w:rsidR="00A233AF" w:rsidRPr="00BA22B5">
        <w:rPr>
          <w:sz w:val="20"/>
          <w:szCs w:val="20"/>
        </w:rPr>
        <w:t xml:space="preserve"> het primair </w:t>
      </w:r>
      <w:r w:rsidR="00D712CE" w:rsidRPr="00BA22B5">
        <w:rPr>
          <w:sz w:val="20"/>
          <w:szCs w:val="20"/>
        </w:rPr>
        <w:t>als</w:t>
      </w:r>
      <w:r w:rsidR="00A233AF" w:rsidRPr="00BA22B5">
        <w:rPr>
          <w:sz w:val="20"/>
          <w:szCs w:val="20"/>
        </w:rPr>
        <w:t xml:space="preserve"> </w:t>
      </w:r>
      <w:r w:rsidR="00D712CE" w:rsidRPr="00BA22B5">
        <w:rPr>
          <w:sz w:val="20"/>
          <w:szCs w:val="20"/>
        </w:rPr>
        <w:t>het</w:t>
      </w:r>
      <w:r w:rsidR="00A233AF" w:rsidRPr="00BA22B5">
        <w:rPr>
          <w:sz w:val="20"/>
          <w:szCs w:val="20"/>
        </w:rPr>
        <w:t xml:space="preserve"> voortgezet onderwijs</w:t>
      </w:r>
      <w:r w:rsidR="00486C92" w:rsidRPr="00BA22B5">
        <w:rPr>
          <w:sz w:val="20"/>
          <w:szCs w:val="20"/>
        </w:rPr>
        <w:t>)</w:t>
      </w:r>
      <w:r w:rsidR="00E722C1" w:rsidRPr="00BA22B5">
        <w:rPr>
          <w:sz w:val="20"/>
          <w:szCs w:val="20"/>
        </w:rPr>
        <w:t xml:space="preserve">. </w:t>
      </w:r>
      <w:r w:rsidR="00C96EAC" w:rsidRPr="00BA22B5">
        <w:rPr>
          <w:sz w:val="20"/>
          <w:szCs w:val="20"/>
        </w:rPr>
        <w:t>Dit is ook bekeken vo</w:t>
      </w:r>
      <w:r w:rsidR="00E722C1" w:rsidRPr="00BA22B5">
        <w:rPr>
          <w:sz w:val="20"/>
          <w:szCs w:val="20"/>
        </w:rPr>
        <w:t xml:space="preserve">or </w:t>
      </w:r>
      <w:r w:rsidR="00C96EAC" w:rsidRPr="00BA22B5">
        <w:rPr>
          <w:sz w:val="20"/>
          <w:szCs w:val="20"/>
        </w:rPr>
        <w:t xml:space="preserve">de </w:t>
      </w:r>
      <w:r w:rsidR="00E722C1" w:rsidRPr="00BA22B5">
        <w:rPr>
          <w:sz w:val="20"/>
          <w:szCs w:val="20"/>
        </w:rPr>
        <w:t>personen die niet de hoofdkostwinner zijn in het huishouden.</w:t>
      </w:r>
    </w:p>
    <w:p w14:paraId="58546F9D" w14:textId="7621E668" w:rsidR="00183F61" w:rsidRDefault="00183F61" w:rsidP="00273AAC">
      <w:pPr>
        <w:rPr>
          <w:b/>
        </w:rPr>
      </w:pPr>
      <w:r w:rsidRPr="004609C6">
        <w:rPr>
          <w:b/>
        </w:rPr>
        <w:t>Populatie</w:t>
      </w:r>
    </w:p>
    <w:p w14:paraId="6D413D6B" w14:textId="3DA3D8AA" w:rsidR="00952A24" w:rsidRPr="00BA22B5" w:rsidRDefault="00E722C1" w:rsidP="00A233AF">
      <w:pPr>
        <w:jc w:val="both"/>
        <w:rPr>
          <w:color w:val="000000"/>
          <w:sz w:val="20"/>
          <w:szCs w:val="20"/>
        </w:rPr>
      </w:pPr>
      <w:r w:rsidRPr="00BA22B5">
        <w:rPr>
          <w:color w:val="000000"/>
          <w:sz w:val="20"/>
          <w:szCs w:val="20"/>
        </w:rPr>
        <w:t>De populatie van dit onderzoek bestaat uit het aantal particuliere huishoudens</w:t>
      </w:r>
      <w:r w:rsidR="00273AAC" w:rsidRPr="00BA22B5">
        <w:rPr>
          <w:color w:val="000000"/>
          <w:sz w:val="20"/>
          <w:szCs w:val="20"/>
        </w:rPr>
        <w:t xml:space="preserve"> </w:t>
      </w:r>
      <w:r w:rsidRPr="00BA22B5">
        <w:rPr>
          <w:color w:val="000000"/>
          <w:sz w:val="20"/>
          <w:szCs w:val="20"/>
        </w:rPr>
        <w:t xml:space="preserve">met inkomen </w:t>
      </w:r>
      <w:r w:rsidR="00F95C98" w:rsidRPr="00BA22B5">
        <w:rPr>
          <w:color w:val="000000"/>
          <w:sz w:val="20"/>
          <w:szCs w:val="20"/>
        </w:rPr>
        <w:t xml:space="preserve">op </w:t>
      </w:r>
      <w:r w:rsidRPr="00BA22B5">
        <w:rPr>
          <w:color w:val="000000"/>
          <w:sz w:val="20"/>
          <w:szCs w:val="20"/>
        </w:rPr>
        <w:t xml:space="preserve">1 januari 2016. </w:t>
      </w:r>
      <w:r w:rsidR="00273AAC" w:rsidRPr="00BA22B5">
        <w:rPr>
          <w:color w:val="000000"/>
          <w:sz w:val="20"/>
          <w:szCs w:val="20"/>
        </w:rPr>
        <w:t xml:space="preserve">De populatie particuliere huishoudens is exclusief de studentenhuishoudens, institutionele huishoudens en huishoudens waarin </w:t>
      </w:r>
      <w:r w:rsidR="00D712CE" w:rsidRPr="00BA22B5">
        <w:rPr>
          <w:color w:val="000000"/>
          <w:sz w:val="20"/>
          <w:szCs w:val="20"/>
        </w:rPr>
        <w:t>alleen</w:t>
      </w:r>
      <w:r w:rsidR="00273AAC" w:rsidRPr="00BA22B5">
        <w:rPr>
          <w:color w:val="000000"/>
          <w:sz w:val="20"/>
          <w:szCs w:val="20"/>
        </w:rPr>
        <w:t xml:space="preserve"> personen </w:t>
      </w:r>
      <w:r w:rsidR="00D712CE" w:rsidRPr="00BA22B5">
        <w:rPr>
          <w:color w:val="000000"/>
          <w:sz w:val="20"/>
          <w:szCs w:val="20"/>
        </w:rPr>
        <w:t>zonder</w:t>
      </w:r>
      <w:r w:rsidR="00273AAC" w:rsidRPr="00BA22B5">
        <w:rPr>
          <w:color w:val="000000"/>
          <w:sz w:val="20"/>
          <w:szCs w:val="20"/>
        </w:rPr>
        <w:t xml:space="preserve"> inkomen </w:t>
      </w:r>
      <w:r w:rsidR="00D712CE" w:rsidRPr="00BA22B5">
        <w:rPr>
          <w:color w:val="000000"/>
          <w:sz w:val="20"/>
          <w:szCs w:val="20"/>
        </w:rPr>
        <w:t>voorkomen</w:t>
      </w:r>
      <w:r w:rsidR="00273AAC" w:rsidRPr="00BA22B5">
        <w:rPr>
          <w:color w:val="000000"/>
          <w:sz w:val="20"/>
          <w:szCs w:val="20"/>
        </w:rPr>
        <w:t xml:space="preserve">. </w:t>
      </w:r>
    </w:p>
    <w:p w14:paraId="7E70E30C" w14:textId="5281FC02" w:rsidR="00B32A3D" w:rsidRDefault="00B32A3D" w:rsidP="004609C6">
      <w:pPr>
        <w:rPr>
          <w:b/>
        </w:rPr>
      </w:pPr>
      <w:r w:rsidRPr="004609C6">
        <w:rPr>
          <w:b/>
        </w:rPr>
        <w:t>Methode</w:t>
      </w:r>
    </w:p>
    <w:p w14:paraId="5FADB736" w14:textId="109EB230" w:rsidR="00024093" w:rsidRPr="00BA22B5" w:rsidRDefault="00024093" w:rsidP="00A233AF">
      <w:pPr>
        <w:jc w:val="both"/>
        <w:rPr>
          <w:sz w:val="20"/>
          <w:szCs w:val="20"/>
        </w:rPr>
      </w:pPr>
      <w:r w:rsidRPr="00BA22B5">
        <w:rPr>
          <w:sz w:val="20"/>
          <w:szCs w:val="20"/>
        </w:rPr>
        <w:t xml:space="preserve">In dit onderzoek </w:t>
      </w:r>
      <w:r w:rsidR="00F647BD" w:rsidRPr="00BA22B5">
        <w:rPr>
          <w:sz w:val="20"/>
          <w:szCs w:val="20"/>
        </w:rPr>
        <w:t>is gebruik gemaakt van de Polisadministratie waar</w:t>
      </w:r>
      <w:r w:rsidR="00BE766E">
        <w:rPr>
          <w:sz w:val="20"/>
          <w:szCs w:val="20"/>
        </w:rPr>
        <w:t>in</w:t>
      </w:r>
      <w:r w:rsidR="00F647BD" w:rsidRPr="00BA22B5">
        <w:rPr>
          <w:sz w:val="20"/>
          <w:szCs w:val="20"/>
        </w:rPr>
        <w:t xml:space="preserve"> </w:t>
      </w:r>
      <w:r w:rsidR="00486C92" w:rsidRPr="00BA22B5">
        <w:rPr>
          <w:sz w:val="20"/>
          <w:szCs w:val="20"/>
        </w:rPr>
        <w:t>gegevens over</w:t>
      </w:r>
      <w:r w:rsidR="00F647BD" w:rsidRPr="00BA22B5">
        <w:rPr>
          <w:sz w:val="20"/>
          <w:szCs w:val="20"/>
        </w:rPr>
        <w:t xml:space="preserve"> banen zitten</w:t>
      </w:r>
      <w:r w:rsidR="00BD0901" w:rsidRPr="00BA22B5">
        <w:rPr>
          <w:sz w:val="20"/>
          <w:szCs w:val="20"/>
        </w:rPr>
        <w:t xml:space="preserve"> </w:t>
      </w:r>
      <w:r w:rsidR="00F647BD" w:rsidRPr="00BA22B5">
        <w:rPr>
          <w:sz w:val="20"/>
          <w:szCs w:val="20"/>
        </w:rPr>
        <w:t>en waar</w:t>
      </w:r>
      <w:r w:rsidR="00BE766E">
        <w:rPr>
          <w:sz w:val="20"/>
          <w:szCs w:val="20"/>
        </w:rPr>
        <w:t>aan</w:t>
      </w:r>
      <w:r w:rsidR="00F647BD" w:rsidRPr="00BA22B5">
        <w:rPr>
          <w:sz w:val="20"/>
          <w:szCs w:val="20"/>
        </w:rPr>
        <w:t xml:space="preserve"> </w:t>
      </w:r>
      <w:r w:rsidR="00F95C98" w:rsidRPr="00BA22B5">
        <w:rPr>
          <w:sz w:val="20"/>
          <w:szCs w:val="20"/>
        </w:rPr>
        <w:t>bedrijfs</w:t>
      </w:r>
      <w:r w:rsidR="00F647BD" w:rsidRPr="00BA22B5">
        <w:rPr>
          <w:sz w:val="20"/>
          <w:szCs w:val="20"/>
        </w:rPr>
        <w:t xml:space="preserve">gegevens gekoppeld kunnen worden. Daarnaast is gebruikt gemaakt van </w:t>
      </w:r>
      <w:r w:rsidR="00486C92" w:rsidRPr="00BA22B5">
        <w:rPr>
          <w:sz w:val="20"/>
          <w:szCs w:val="20"/>
        </w:rPr>
        <w:t>het integraal huishoudensinkomen</w:t>
      </w:r>
      <w:r w:rsidR="002D061C" w:rsidRPr="00BA22B5">
        <w:rPr>
          <w:sz w:val="20"/>
          <w:szCs w:val="20"/>
        </w:rPr>
        <w:t xml:space="preserve"> bestand</w:t>
      </w:r>
      <w:r w:rsidR="00F647BD" w:rsidRPr="00BA22B5">
        <w:rPr>
          <w:sz w:val="20"/>
          <w:szCs w:val="20"/>
        </w:rPr>
        <w:t>. Dit bestand bevat gegevens over het jaarinkomen van huishoudens in Nederland. Uit de Basisregistratie Personen (BRP) zijn demografische kenmerken</w:t>
      </w:r>
      <w:r w:rsidR="0047384D" w:rsidRPr="00BA22B5">
        <w:rPr>
          <w:sz w:val="20"/>
          <w:szCs w:val="20"/>
        </w:rPr>
        <w:t>, zoals leeftijd,</w:t>
      </w:r>
      <w:r w:rsidR="00F647BD" w:rsidRPr="00BA22B5">
        <w:rPr>
          <w:sz w:val="20"/>
          <w:szCs w:val="20"/>
        </w:rPr>
        <w:t xml:space="preserve"> van personen </w:t>
      </w:r>
      <w:r w:rsidR="0047384D" w:rsidRPr="00BA22B5">
        <w:rPr>
          <w:sz w:val="20"/>
          <w:szCs w:val="20"/>
        </w:rPr>
        <w:t>af te leiden</w:t>
      </w:r>
      <w:r w:rsidR="00F647BD" w:rsidRPr="00BA22B5">
        <w:rPr>
          <w:sz w:val="20"/>
          <w:szCs w:val="20"/>
        </w:rPr>
        <w:t xml:space="preserve">. Door bovenstaande registers te koppelen en </w:t>
      </w:r>
      <w:r w:rsidR="00486C92" w:rsidRPr="00BA22B5">
        <w:rPr>
          <w:sz w:val="20"/>
          <w:szCs w:val="20"/>
        </w:rPr>
        <w:t xml:space="preserve">bepaalde </w:t>
      </w:r>
      <w:r w:rsidR="00F647BD" w:rsidRPr="00BA22B5">
        <w:rPr>
          <w:sz w:val="20"/>
          <w:szCs w:val="20"/>
        </w:rPr>
        <w:t>afleidingen, combinaties en herindelingen te maken</w:t>
      </w:r>
      <w:r w:rsidR="00BE766E">
        <w:rPr>
          <w:sz w:val="20"/>
          <w:szCs w:val="20"/>
        </w:rPr>
        <w:t>,</w:t>
      </w:r>
      <w:r w:rsidR="00F647BD" w:rsidRPr="00BA22B5">
        <w:rPr>
          <w:sz w:val="20"/>
          <w:szCs w:val="20"/>
        </w:rPr>
        <w:t xml:space="preserve"> is het mogelijk om tot de gewenste kenmerken en indelingen</w:t>
      </w:r>
      <w:r w:rsidR="00486C92" w:rsidRPr="00BA22B5">
        <w:rPr>
          <w:sz w:val="20"/>
          <w:szCs w:val="20"/>
        </w:rPr>
        <w:t xml:space="preserve"> voor de tabel</w:t>
      </w:r>
      <w:r w:rsidR="00F647BD" w:rsidRPr="00BA22B5">
        <w:rPr>
          <w:sz w:val="20"/>
          <w:szCs w:val="20"/>
        </w:rPr>
        <w:t xml:space="preserve"> te kome</w:t>
      </w:r>
      <w:r w:rsidR="0047384D" w:rsidRPr="00BA22B5">
        <w:rPr>
          <w:sz w:val="20"/>
          <w:szCs w:val="20"/>
        </w:rPr>
        <w:t>n.</w:t>
      </w:r>
    </w:p>
    <w:p w14:paraId="13EBECD0" w14:textId="4FA86C3C" w:rsidR="00A233AF" w:rsidRPr="00BA22B5" w:rsidRDefault="00A233AF" w:rsidP="00A233AF">
      <w:pPr>
        <w:jc w:val="both"/>
        <w:rPr>
          <w:color w:val="000000"/>
          <w:sz w:val="20"/>
          <w:szCs w:val="20"/>
        </w:rPr>
      </w:pPr>
      <w:r w:rsidRPr="00BA22B5">
        <w:rPr>
          <w:color w:val="000000"/>
          <w:sz w:val="20"/>
          <w:szCs w:val="20"/>
        </w:rPr>
        <w:t>Van de populatie huishoudens is bepaald wat het bruto inkomen in 2016 is</w:t>
      </w:r>
      <w:r w:rsidR="00A4007C" w:rsidRPr="00BA22B5">
        <w:rPr>
          <w:color w:val="000000"/>
          <w:sz w:val="20"/>
          <w:szCs w:val="20"/>
        </w:rPr>
        <w:t xml:space="preserve">, wat </w:t>
      </w:r>
      <w:r w:rsidRPr="00BA22B5">
        <w:rPr>
          <w:color w:val="000000"/>
          <w:sz w:val="20"/>
          <w:szCs w:val="20"/>
        </w:rPr>
        <w:t>het aantal personen met</w:t>
      </w:r>
      <w:r w:rsidR="00A4007C" w:rsidRPr="00BA22B5">
        <w:rPr>
          <w:color w:val="000000"/>
          <w:sz w:val="20"/>
          <w:szCs w:val="20"/>
        </w:rPr>
        <w:t xml:space="preserve"> een</w:t>
      </w:r>
      <w:r w:rsidRPr="00BA22B5">
        <w:rPr>
          <w:color w:val="000000"/>
          <w:sz w:val="20"/>
          <w:szCs w:val="20"/>
        </w:rPr>
        <w:t xml:space="preserve"> inkomen (</w:t>
      </w:r>
      <w:r w:rsidR="00A4007C" w:rsidRPr="00BA22B5">
        <w:rPr>
          <w:color w:val="000000"/>
          <w:sz w:val="20"/>
          <w:szCs w:val="20"/>
        </w:rPr>
        <w:t>1 persoon of</w:t>
      </w:r>
      <w:r w:rsidRPr="00BA22B5">
        <w:rPr>
          <w:color w:val="000000"/>
          <w:sz w:val="20"/>
          <w:szCs w:val="20"/>
        </w:rPr>
        <w:t xml:space="preserve"> 2 of meer personen) </w:t>
      </w:r>
      <w:r w:rsidR="00A4007C" w:rsidRPr="00BA22B5">
        <w:rPr>
          <w:color w:val="000000"/>
          <w:sz w:val="20"/>
          <w:szCs w:val="20"/>
        </w:rPr>
        <w:t>is</w:t>
      </w:r>
      <w:r w:rsidR="000145BC">
        <w:rPr>
          <w:color w:val="000000"/>
          <w:sz w:val="20"/>
          <w:szCs w:val="20"/>
        </w:rPr>
        <w:t>,</w:t>
      </w:r>
      <w:r w:rsidR="00A4007C" w:rsidRPr="00BA22B5">
        <w:rPr>
          <w:color w:val="000000"/>
          <w:sz w:val="20"/>
          <w:szCs w:val="20"/>
        </w:rPr>
        <w:t xml:space="preserve"> </w:t>
      </w:r>
      <w:r w:rsidRPr="00BA22B5">
        <w:rPr>
          <w:color w:val="000000"/>
          <w:sz w:val="20"/>
          <w:szCs w:val="20"/>
        </w:rPr>
        <w:t xml:space="preserve">of er kinderen woonachtig zijn en </w:t>
      </w:r>
      <w:r w:rsidR="00A4007C" w:rsidRPr="00BA22B5">
        <w:rPr>
          <w:color w:val="000000"/>
          <w:sz w:val="20"/>
          <w:szCs w:val="20"/>
        </w:rPr>
        <w:t xml:space="preserve">wat </w:t>
      </w:r>
      <w:r w:rsidRPr="00BA22B5">
        <w:rPr>
          <w:color w:val="000000"/>
          <w:sz w:val="20"/>
          <w:szCs w:val="20"/>
        </w:rPr>
        <w:t>de leeftijd daarvan</w:t>
      </w:r>
      <w:r w:rsidR="00A4007C" w:rsidRPr="00BA22B5">
        <w:rPr>
          <w:color w:val="000000"/>
          <w:sz w:val="20"/>
          <w:szCs w:val="20"/>
        </w:rPr>
        <w:t xml:space="preserve"> is</w:t>
      </w:r>
      <w:r w:rsidRPr="00BA22B5">
        <w:rPr>
          <w:color w:val="000000"/>
          <w:sz w:val="20"/>
          <w:szCs w:val="20"/>
        </w:rPr>
        <w:t>.</w:t>
      </w:r>
    </w:p>
    <w:p w14:paraId="5B63C1E7" w14:textId="1CC03807" w:rsidR="00A233AF" w:rsidRPr="00BA22B5" w:rsidRDefault="00A233AF" w:rsidP="00A233AF">
      <w:pPr>
        <w:jc w:val="both"/>
        <w:rPr>
          <w:color w:val="000000"/>
          <w:sz w:val="20"/>
          <w:szCs w:val="20"/>
        </w:rPr>
      </w:pPr>
      <w:r w:rsidRPr="00BA22B5">
        <w:rPr>
          <w:color w:val="000000"/>
          <w:sz w:val="20"/>
          <w:szCs w:val="20"/>
        </w:rPr>
        <w:t>Het bruto inkom</w:t>
      </w:r>
      <w:r w:rsidR="00A4007C" w:rsidRPr="00BA22B5">
        <w:rPr>
          <w:color w:val="000000"/>
          <w:sz w:val="20"/>
          <w:szCs w:val="20"/>
        </w:rPr>
        <w:t>en is opgedeeld in acht klassen:</w:t>
      </w:r>
    </w:p>
    <w:p w14:paraId="1D129057" w14:textId="105E9B4D" w:rsidR="00A233AF" w:rsidRPr="00BA22B5" w:rsidRDefault="00A4007C" w:rsidP="00A233AF">
      <w:pPr>
        <w:pStyle w:val="Lijstalinea"/>
        <w:numPr>
          <w:ilvl w:val="0"/>
          <w:numId w:val="10"/>
        </w:numPr>
        <w:jc w:val="both"/>
        <w:rPr>
          <w:color w:val="000000"/>
          <w:sz w:val="20"/>
          <w:szCs w:val="20"/>
        </w:rPr>
      </w:pPr>
      <w:r w:rsidRPr="00BA22B5">
        <w:rPr>
          <w:color w:val="000000"/>
          <w:sz w:val="20"/>
          <w:szCs w:val="20"/>
        </w:rPr>
        <w:t>m</w:t>
      </w:r>
      <w:r w:rsidR="00A233AF" w:rsidRPr="00BA22B5">
        <w:rPr>
          <w:color w:val="000000"/>
          <w:sz w:val="20"/>
          <w:szCs w:val="20"/>
        </w:rPr>
        <w:t>inder dan 10 duizend euro.</w:t>
      </w:r>
    </w:p>
    <w:p w14:paraId="6C380FC7" w14:textId="77777777" w:rsidR="00A233AF" w:rsidRPr="00BA22B5" w:rsidRDefault="00A233AF" w:rsidP="00A233AF">
      <w:pPr>
        <w:pStyle w:val="Lijstalinea"/>
        <w:numPr>
          <w:ilvl w:val="0"/>
          <w:numId w:val="10"/>
        </w:numPr>
        <w:jc w:val="both"/>
        <w:rPr>
          <w:color w:val="000000"/>
          <w:sz w:val="20"/>
          <w:szCs w:val="20"/>
        </w:rPr>
      </w:pPr>
      <w:r w:rsidRPr="00BA22B5">
        <w:rPr>
          <w:color w:val="000000"/>
          <w:sz w:val="20"/>
          <w:szCs w:val="20"/>
        </w:rPr>
        <w:t>10 tot 20 duizend euro.</w:t>
      </w:r>
    </w:p>
    <w:p w14:paraId="3DC22BA5" w14:textId="77777777" w:rsidR="00A233AF" w:rsidRPr="00BA22B5" w:rsidRDefault="00A233AF" w:rsidP="00A233AF">
      <w:pPr>
        <w:pStyle w:val="Lijstalinea"/>
        <w:numPr>
          <w:ilvl w:val="0"/>
          <w:numId w:val="10"/>
        </w:numPr>
        <w:jc w:val="both"/>
        <w:rPr>
          <w:color w:val="000000"/>
          <w:sz w:val="20"/>
          <w:szCs w:val="20"/>
        </w:rPr>
      </w:pPr>
      <w:r w:rsidRPr="00BA22B5">
        <w:rPr>
          <w:color w:val="000000"/>
          <w:sz w:val="20"/>
          <w:szCs w:val="20"/>
        </w:rPr>
        <w:t>20 tot 30 duizend euro.</w:t>
      </w:r>
    </w:p>
    <w:p w14:paraId="5D113793" w14:textId="77777777" w:rsidR="00A233AF" w:rsidRPr="00BA22B5" w:rsidRDefault="00A233AF" w:rsidP="00A233AF">
      <w:pPr>
        <w:pStyle w:val="Lijstalinea"/>
        <w:numPr>
          <w:ilvl w:val="0"/>
          <w:numId w:val="10"/>
        </w:numPr>
        <w:jc w:val="both"/>
        <w:rPr>
          <w:color w:val="000000"/>
          <w:sz w:val="20"/>
          <w:szCs w:val="20"/>
        </w:rPr>
      </w:pPr>
      <w:r w:rsidRPr="00BA22B5">
        <w:rPr>
          <w:color w:val="000000"/>
          <w:sz w:val="20"/>
          <w:szCs w:val="20"/>
        </w:rPr>
        <w:t>30 tot 40 duizend euro.</w:t>
      </w:r>
    </w:p>
    <w:p w14:paraId="788DEC0C" w14:textId="77777777" w:rsidR="00A233AF" w:rsidRPr="00BA22B5" w:rsidRDefault="00A233AF" w:rsidP="00A233AF">
      <w:pPr>
        <w:pStyle w:val="Lijstalinea"/>
        <w:numPr>
          <w:ilvl w:val="0"/>
          <w:numId w:val="10"/>
        </w:numPr>
        <w:jc w:val="both"/>
        <w:rPr>
          <w:color w:val="000000"/>
          <w:sz w:val="20"/>
          <w:szCs w:val="20"/>
        </w:rPr>
      </w:pPr>
      <w:r w:rsidRPr="00BA22B5">
        <w:rPr>
          <w:color w:val="000000"/>
          <w:sz w:val="20"/>
          <w:szCs w:val="20"/>
        </w:rPr>
        <w:t>40 tot 50 duizend euro.</w:t>
      </w:r>
    </w:p>
    <w:p w14:paraId="77A58CE8" w14:textId="77777777" w:rsidR="00A233AF" w:rsidRPr="00BA22B5" w:rsidRDefault="00A233AF" w:rsidP="00A233AF">
      <w:pPr>
        <w:pStyle w:val="Lijstalinea"/>
        <w:numPr>
          <w:ilvl w:val="0"/>
          <w:numId w:val="10"/>
        </w:numPr>
        <w:jc w:val="both"/>
        <w:rPr>
          <w:color w:val="000000"/>
          <w:sz w:val="20"/>
          <w:szCs w:val="20"/>
        </w:rPr>
      </w:pPr>
      <w:r w:rsidRPr="00BA22B5">
        <w:rPr>
          <w:color w:val="000000"/>
          <w:sz w:val="20"/>
          <w:szCs w:val="20"/>
        </w:rPr>
        <w:t>50 tot 100 duizend euro.</w:t>
      </w:r>
    </w:p>
    <w:p w14:paraId="251B868F" w14:textId="77777777" w:rsidR="00A233AF" w:rsidRPr="00BA22B5" w:rsidRDefault="00A233AF" w:rsidP="00A233AF">
      <w:pPr>
        <w:pStyle w:val="Lijstalinea"/>
        <w:numPr>
          <w:ilvl w:val="0"/>
          <w:numId w:val="10"/>
        </w:numPr>
        <w:jc w:val="both"/>
        <w:rPr>
          <w:color w:val="000000"/>
          <w:sz w:val="20"/>
          <w:szCs w:val="20"/>
        </w:rPr>
      </w:pPr>
      <w:r w:rsidRPr="00BA22B5">
        <w:rPr>
          <w:color w:val="000000"/>
          <w:sz w:val="20"/>
          <w:szCs w:val="20"/>
        </w:rPr>
        <w:t>100 duizend euro of meer.</w:t>
      </w:r>
    </w:p>
    <w:p w14:paraId="2C05F38B" w14:textId="427AAA7E" w:rsidR="00A233AF" w:rsidRPr="00BA22B5" w:rsidRDefault="00A4007C" w:rsidP="00A233AF">
      <w:pPr>
        <w:pStyle w:val="Lijstalinea"/>
        <w:numPr>
          <w:ilvl w:val="0"/>
          <w:numId w:val="10"/>
        </w:numPr>
        <w:jc w:val="both"/>
        <w:rPr>
          <w:color w:val="000000"/>
          <w:sz w:val="20"/>
          <w:szCs w:val="20"/>
        </w:rPr>
      </w:pPr>
      <w:r w:rsidRPr="00BA22B5">
        <w:rPr>
          <w:color w:val="000000"/>
          <w:sz w:val="20"/>
          <w:szCs w:val="20"/>
        </w:rPr>
        <w:t>i</w:t>
      </w:r>
      <w:r w:rsidR="00A233AF" w:rsidRPr="00BA22B5">
        <w:rPr>
          <w:color w:val="000000"/>
          <w:sz w:val="20"/>
          <w:szCs w:val="20"/>
        </w:rPr>
        <w:t>nkomen onbekend.</w:t>
      </w:r>
    </w:p>
    <w:p w14:paraId="7B5CDBEE" w14:textId="77777777" w:rsidR="00A233AF" w:rsidRPr="00BA22B5" w:rsidRDefault="00A233AF" w:rsidP="00A233AF">
      <w:pPr>
        <w:jc w:val="both"/>
        <w:rPr>
          <w:color w:val="000000"/>
          <w:sz w:val="20"/>
          <w:szCs w:val="20"/>
        </w:rPr>
      </w:pPr>
      <w:r w:rsidRPr="00BA22B5">
        <w:rPr>
          <w:color w:val="000000"/>
          <w:sz w:val="20"/>
          <w:szCs w:val="20"/>
        </w:rPr>
        <w:t>De leeftijd van de kinderen in de tabel is weergegeven in vier groepen;</w:t>
      </w:r>
    </w:p>
    <w:p w14:paraId="346E41C2" w14:textId="6F61E5CF" w:rsidR="00A233AF" w:rsidRPr="00BA22B5" w:rsidRDefault="00A4007C" w:rsidP="00A233AF">
      <w:pPr>
        <w:pStyle w:val="Lijstalinea"/>
        <w:numPr>
          <w:ilvl w:val="0"/>
          <w:numId w:val="10"/>
        </w:numPr>
        <w:jc w:val="both"/>
        <w:rPr>
          <w:color w:val="000000"/>
          <w:sz w:val="20"/>
          <w:szCs w:val="20"/>
        </w:rPr>
      </w:pPr>
      <w:r w:rsidRPr="00BA22B5">
        <w:rPr>
          <w:color w:val="000000"/>
          <w:sz w:val="20"/>
          <w:szCs w:val="20"/>
        </w:rPr>
        <w:t>a</w:t>
      </w:r>
      <w:r w:rsidR="00A233AF" w:rsidRPr="00BA22B5">
        <w:rPr>
          <w:color w:val="000000"/>
          <w:sz w:val="20"/>
          <w:szCs w:val="20"/>
        </w:rPr>
        <w:t>lleen kinderen jonger dan 4 jaar.</w:t>
      </w:r>
    </w:p>
    <w:p w14:paraId="04DD728B" w14:textId="48ADC5D3" w:rsidR="00A233AF" w:rsidRPr="00BA22B5" w:rsidRDefault="00A4007C" w:rsidP="00A233AF">
      <w:pPr>
        <w:pStyle w:val="Lijstalinea"/>
        <w:numPr>
          <w:ilvl w:val="0"/>
          <w:numId w:val="10"/>
        </w:numPr>
        <w:jc w:val="both"/>
        <w:rPr>
          <w:color w:val="000000"/>
          <w:sz w:val="20"/>
          <w:szCs w:val="20"/>
        </w:rPr>
      </w:pPr>
      <w:r w:rsidRPr="00BA22B5">
        <w:rPr>
          <w:color w:val="000000"/>
          <w:sz w:val="20"/>
          <w:szCs w:val="20"/>
        </w:rPr>
        <w:t>a</w:t>
      </w:r>
      <w:r w:rsidR="00A233AF" w:rsidRPr="00BA22B5">
        <w:rPr>
          <w:color w:val="000000"/>
          <w:sz w:val="20"/>
          <w:szCs w:val="20"/>
        </w:rPr>
        <w:t xml:space="preserve">lleen kinderen </w:t>
      </w:r>
      <w:r w:rsidR="00DD3D1A">
        <w:rPr>
          <w:color w:val="000000"/>
          <w:sz w:val="20"/>
          <w:szCs w:val="20"/>
        </w:rPr>
        <w:t>van</w:t>
      </w:r>
      <w:r w:rsidR="00A233AF" w:rsidRPr="00BA22B5">
        <w:rPr>
          <w:color w:val="000000"/>
          <w:sz w:val="20"/>
          <w:szCs w:val="20"/>
        </w:rPr>
        <w:t xml:space="preserve"> 4 </w:t>
      </w:r>
      <w:r w:rsidR="00DD3D1A">
        <w:rPr>
          <w:color w:val="000000"/>
          <w:sz w:val="20"/>
          <w:szCs w:val="20"/>
        </w:rPr>
        <w:t>tot</w:t>
      </w:r>
      <w:r w:rsidR="00DD3D1A" w:rsidRPr="00BA22B5">
        <w:rPr>
          <w:color w:val="000000"/>
          <w:sz w:val="20"/>
          <w:szCs w:val="20"/>
        </w:rPr>
        <w:t xml:space="preserve"> </w:t>
      </w:r>
      <w:r w:rsidR="00A233AF" w:rsidRPr="00BA22B5">
        <w:rPr>
          <w:color w:val="000000"/>
          <w:sz w:val="20"/>
          <w:szCs w:val="20"/>
        </w:rPr>
        <w:t>12 jaar.</w:t>
      </w:r>
    </w:p>
    <w:p w14:paraId="3E7FE16A" w14:textId="3155981F" w:rsidR="00A233AF" w:rsidRPr="00BA22B5" w:rsidRDefault="00A4007C" w:rsidP="00A233AF">
      <w:pPr>
        <w:pStyle w:val="Lijstalinea"/>
        <w:numPr>
          <w:ilvl w:val="0"/>
          <w:numId w:val="10"/>
        </w:numPr>
        <w:jc w:val="both"/>
        <w:rPr>
          <w:color w:val="000000"/>
          <w:sz w:val="20"/>
          <w:szCs w:val="20"/>
        </w:rPr>
      </w:pPr>
      <w:r w:rsidRPr="00BA22B5">
        <w:rPr>
          <w:color w:val="000000"/>
          <w:sz w:val="20"/>
          <w:szCs w:val="20"/>
        </w:rPr>
        <w:t>z</w:t>
      </w:r>
      <w:r w:rsidR="00A233AF" w:rsidRPr="00BA22B5">
        <w:rPr>
          <w:color w:val="000000"/>
          <w:sz w:val="20"/>
          <w:szCs w:val="20"/>
        </w:rPr>
        <w:t>owel kinderen jonger dan 4 jaar als van 4 tot 12 jaar.</w:t>
      </w:r>
    </w:p>
    <w:p w14:paraId="4AF76BB6" w14:textId="324D6EB4" w:rsidR="00A233AF" w:rsidRPr="00BA22B5" w:rsidRDefault="00A4007C" w:rsidP="00A233AF">
      <w:pPr>
        <w:pStyle w:val="Lijstalinea"/>
        <w:numPr>
          <w:ilvl w:val="0"/>
          <w:numId w:val="10"/>
        </w:numPr>
        <w:jc w:val="both"/>
        <w:rPr>
          <w:color w:val="000000"/>
          <w:sz w:val="20"/>
          <w:szCs w:val="20"/>
        </w:rPr>
      </w:pPr>
      <w:r w:rsidRPr="00BA22B5">
        <w:rPr>
          <w:color w:val="000000"/>
          <w:sz w:val="20"/>
          <w:szCs w:val="20"/>
        </w:rPr>
        <w:t>g</w:t>
      </w:r>
      <w:r w:rsidR="00A233AF" w:rsidRPr="00BA22B5">
        <w:rPr>
          <w:color w:val="000000"/>
          <w:sz w:val="20"/>
          <w:szCs w:val="20"/>
        </w:rPr>
        <w:t>een kinderen of kinderen van 12 jaar of ouder.</w:t>
      </w:r>
    </w:p>
    <w:p w14:paraId="10EBF48B" w14:textId="557A9E88" w:rsidR="00A233AF" w:rsidRPr="00BA22B5" w:rsidRDefault="00A233AF" w:rsidP="00A233AF">
      <w:pPr>
        <w:jc w:val="both"/>
        <w:rPr>
          <w:color w:val="000000"/>
          <w:sz w:val="20"/>
          <w:szCs w:val="20"/>
        </w:rPr>
      </w:pPr>
      <w:r w:rsidRPr="00BA22B5">
        <w:rPr>
          <w:color w:val="000000"/>
          <w:sz w:val="20"/>
          <w:szCs w:val="20"/>
        </w:rPr>
        <w:lastRenderedPageBreak/>
        <w:t>De hoofdkostwinner van het huishouden is de persoon met de belangrijkste sociaaleconomische categorie. Of iemand van het huishouden werkzaam is in het onderwijs wordt bepaald door te kijken naar de hoofdbaan op 1 januari 2016. Als iemand meerdere banen heeft</w:t>
      </w:r>
      <w:r w:rsidR="00BE766E">
        <w:rPr>
          <w:color w:val="000000"/>
          <w:sz w:val="20"/>
          <w:szCs w:val="20"/>
        </w:rPr>
        <w:t>,</w:t>
      </w:r>
      <w:r w:rsidRPr="00BA22B5">
        <w:rPr>
          <w:color w:val="000000"/>
          <w:sz w:val="20"/>
          <w:szCs w:val="20"/>
        </w:rPr>
        <w:t xml:space="preserve"> is de hoofdbaan de baan met het hoogste loon. We spreken in dit onderzoek van </w:t>
      </w:r>
      <w:r w:rsidRPr="00DD3D1A">
        <w:rPr>
          <w:i/>
          <w:color w:val="000000"/>
          <w:sz w:val="20"/>
          <w:szCs w:val="20"/>
        </w:rPr>
        <w:t>werkzaam in het onderwijs</w:t>
      </w:r>
      <w:r w:rsidRPr="00BA22B5">
        <w:rPr>
          <w:color w:val="000000"/>
          <w:sz w:val="20"/>
          <w:szCs w:val="20"/>
        </w:rPr>
        <w:t xml:space="preserve"> als het gaat om een hoofdbaan in de sector 852 (primair en speciaal onderwijs) of 8531 (voortgezet onderwijs) volgens de Standaard bedrijfsindeling (SBI) 2008.</w:t>
      </w:r>
    </w:p>
    <w:p w14:paraId="0159EC08" w14:textId="77EA5667" w:rsidR="00486C92" w:rsidRDefault="00486C92" w:rsidP="004609C6">
      <w:pPr>
        <w:jc w:val="both"/>
        <w:rPr>
          <w:b/>
          <w:color w:val="000000"/>
        </w:rPr>
      </w:pPr>
      <w:r>
        <w:rPr>
          <w:b/>
          <w:color w:val="000000"/>
        </w:rPr>
        <w:t>Aandachtspunten bij de cijfers</w:t>
      </w:r>
    </w:p>
    <w:p w14:paraId="32F07018" w14:textId="1F4E1A65" w:rsidR="00B74EEB" w:rsidRPr="00BA22B5" w:rsidRDefault="00B74EEB" w:rsidP="00B74EEB">
      <w:pPr>
        <w:spacing w:after="0" w:line="240" w:lineRule="auto"/>
        <w:jc w:val="both"/>
        <w:rPr>
          <w:color w:val="000000"/>
          <w:sz w:val="20"/>
          <w:szCs w:val="20"/>
        </w:rPr>
      </w:pPr>
      <w:r w:rsidRPr="00BA22B5">
        <w:rPr>
          <w:color w:val="000000"/>
          <w:sz w:val="20"/>
          <w:szCs w:val="20"/>
        </w:rPr>
        <w:t>Doordat inkomensgegevens een bepaalde onbetrouwbaarheid hebben</w:t>
      </w:r>
      <w:r w:rsidR="00BE766E">
        <w:rPr>
          <w:color w:val="000000"/>
          <w:sz w:val="20"/>
          <w:szCs w:val="20"/>
        </w:rPr>
        <w:t>,</w:t>
      </w:r>
      <w:r w:rsidRPr="00BA22B5">
        <w:rPr>
          <w:color w:val="000000"/>
          <w:sz w:val="20"/>
          <w:szCs w:val="20"/>
        </w:rPr>
        <w:t xml:space="preserve"> zijn de cijfers</w:t>
      </w:r>
      <w:r w:rsidR="002B6F0D" w:rsidRPr="00BA22B5">
        <w:rPr>
          <w:color w:val="000000"/>
          <w:sz w:val="20"/>
          <w:szCs w:val="20"/>
        </w:rPr>
        <w:t xml:space="preserve"> afgerond op honderdtallen</w:t>
      </w:r>
      <w:r w:rsidRPr="00BA22B5">
        <w:rPr>
          <w:color w:val="000000"/>
          <w:sz w:val="20"/>
          <w:szCs w:val="20"/>
        </w:rPr>
        <w:t>.</w:t>
      </w:r>
    </w:p>
    <w:p w14:paraId="043CD7FD" w14:textId="77777777" w:rsidR="00B74EEB" w:rsidRPr="00BA22B5" w:rsidRDefault="00B74EEB" w:rsidP="00B74EEB">
      <w:pPr>
        <w:spacing w:after="0" w:line="240" w:lineRule="auto"/>
        <w:jc w:val="both"/>
        <w:rPr>
          <w:color w:val="000000"/>
          <w:sz w:val="20"/>
          <w:szCs w:val="20"/>
        </w:rPr>
      </w:pPr>
    </w:p>
    <w:p w14:paraId="0CB9DB18" w14:textId="745D37E7" w:rsidR="002B6F0D" w:rsidRPr="00BA22B5" w:rsidRDefault="002B6F0D" w:rsidP="00BA22B5">
      <w:pPr>
        <w:jc w:val="both"/>
        <w:rPr>
          <w:color w:val="000000"/>
          <w:sz w:val="20"/>
          <w:szCs w:val="20"/>
        </w:rPr>
      </w:pPr>
      <w:r w:rsidRPr="00BA22B5">
        <w:rPr>
          <w:color w:val="000000"/>
          <w:sz w:val="20"/>
          <w:szCs w:val="20"/>
        </w:rPr>
        <w:t>Er is gekeken of andere personen, naast de hoofdkostwinner, in het huishouden werkzaam zijn in het onderwijs. De aantallen niet-hoofdkostwinner</w:t>
      </w:r>
      <w:r w:rsidR="008D2102" w:rsidRPr="00BA22B5">
        <w:rPr>
          <w:color w:val="000000"/>
          <w:sz w:val="20"/>
          <w:szCs w:val="20"/>
        </w:rPr>
        <w:t>s die</w:t>
      </w:r>
      <w:r w:rsidRPr="00BA22B5">
        <w:rPr>
          <w:color w:val="000000"/>
          <w:sz w:val="20"/>
          <w:szCs w:val="20"/>
        </w:rPr>
        <w:t xml:space="preserve"> werkzaam </w:t>
      </w:r>
      <w:r w:rsidR="008D2102" w:rsidRPr="00BA22B5">
        <w:rPr>
          <w:color w:val="000000"/>
          <w:sz w:val="20"/>
          <w:szCs w:val="20"/>
        </w:rPr>
        <w:t>zijn in het</w:t>
      </w:r>
      <w:r w:rsidRPr="00BA22B5">
        <w:rPr>
          <w:color w:val="000000"/>
          <w:sz w:val="20"/>
          <w:szCs w:val="20"/>
        </w:rPr>
        <w:t xml:space="preserve"> primair onderwijs en </w:t>
      </w:r>
      <w:r w:rsidR="008D2102" w:rsidRPr="00BA22B5">
        <w:rPr>
          <w:color w:val="000000"/>
          <w:sz w:val="20"/>
          <w:szCs w:val="20"/>
        </w:rPr>
        <w:t xml:space="preserve">het </w:t>
      </w:r>
      <w:r w:rsidRPr="00BA22B5">
        <w:rPr>
          <w:color w:val="000000"/>
          <w:sz w:val="20"/>
          <w:szCs w:val="20"/>
        </w:rPr>
        <w:t xml:space="preserve">voortgezet onderwijs tellen niet altijd op tot het totaal van </w:t>
      </w:r>
      <w:r w:rsidR="008D2102" w:rsidRPr="00BA22B5">
        <w:rPr>
          <w:color w:val="000000"/>
          <w:sz w:val="20"/>
          <w:szCs w:val="20"/>
        </w:rPr>
        <w:t xml:space="preserve">de </w:t>
      </w:r>
      <w:r w:rsidRPr="00BA22B5">
        <w:rPr>
          <w:color w:val="000000"/>
          <w:sz w:val="20"/>
          <w:szCs w:val="20"/>
        </w:rPr>
        <w:t>niet-hoofdkostwinner</w:t>
      </w:r>
      <w:r w:rsidR="008D2102" w:rsidRPr="00BA22B5">
        <w:rPr>
          <w:color w:val="000000"/>
          <w:sz w:val="20"/>
          <w:szCs w:val="20"/>
        </w:rPr>
        <w:t>s die</w:t>
      </w:r>
      <w:r w:rsidRPr="00BA22B5">
        <w:rPr>
          <w:color w:val="000000"/>
          <w:sz w:val="20"/>
          <w:szCs w:val="20"/>
        </w:rPr>
        <w:t xml:space="preserve"> werkzaam</w:t>
      </w:r>
      <w:r w:rsidR="008D2102" w:rsidRPr="00BA22B5">
        <w:rPr>
          <w:color w:val="000000"/>
          <w:sz w:val="20"/>
          <w:szCs w:val="20"/>
        </w:rPr>
        <w:t xml:space="preserve"> zijn</w:t>
      </w:r>
      <w:r w:rsidRPr="00BA22B5">
        <w:rPr>
          <w:color w:val="000000"/>
          <w:sz w:val="20"/>
          <w:szCs w:val="20"/>
        </w:rPr>
        <w:t xml:space="preserve"> in het onderwijs. Dit komt doordat het mogelijk is dat er meer dan één persoon (naast de hoofdkostwinner) in het huishouden in het primair en in het voortgezet onderwijs werken.</w:t>
      </w:r>
      <w:r w:rsidR="00954ACA" w:rsidRPr="00BA22B5">
        <w:rPr>
          <w:color w:val="000000"/>
          <w:sz w:val="20"/>
          <w:szCs w:val="20"/>
        </w:rPr>
        <w:t xml:space="preserve"> Deze worden bij het totaal allemaal geteld</w:t>
      </w:r>
      <w:r w:rsidRPr="00BA22B5">
        <w:rPr>
          <w:color w:val="000000"/>
          <w:sz w:val="20"/>
          <w:szCs w:val="20"/>
        </w:rPr>
        <w:t xml:space="preserve">. </w:t>
      </w:r>
    </w:p>
    <w:p w14:paraId="2DE7467C" w14:textId="56871FA0" w:rsidR="00721689" w:rsidRPr="00BA22B5" w:rsidRDefault="00721689" w:rsidP="00BA22B5">
      <w:pPr>
        <w:jc w:val="both"/>
        <w:rPr>
          <w:color w:val="000000"/>
          <w:sz w:val="20"/>
          <w:szCs w:val="20"/>
        </w:rPr>
      </w:pPr>
      <w:r w:rsidRPr="00BA22B5">
        <w:rPr>
          <w:color w:val="000000"/>
          <w:sz w:val="20"/>
          <w:szCs w:val="20"/>
        </w:rPr>
        <w:br w:type="page"/>
      </w:r>
    </w:p>
    <w:p w14:paraId="18D520EF" w14:textId="77777777" w:rsidR="00721689" w:rsidRPr="00F647BD" w:rsidRDefault="00721689" w:rsidP="00B74EEB">
      <w:pPr>
        <w:spacing w:after="0" w:line="240" w:lineRule="auto"/>
        <w:jc w:val="both"/>
      </w:pPr>
    </w:p>
    <w:p w14:paraId="1F2024C0" w14:textId="31FAE618" w:rsidR="002B53E0" w:rsidRDefault="004609C6" w:rsidP="004609C6">
      <w:pPr>
        <w:jc w:val="both"/>
      </w:pPr>
      <w:r w:rsidRPr="004609C6">
        <w:rPr>
          <w:b/>
          <w:color w:val="000000"/>
        </w:rPr>
        <w:t>Begrippen</w:t>
      </w:r>
    </w:p>
    <w:p w14:paraId="13331C23" w14:textId="7B83C2D5" w:rsidR="00C36F71" w:rsidRPr="00BA22B5" w:rsidRDefault="00C22B83" w:rsidP="00C36F71">
      <w:pPr>
        <w:jc w:val="both"/>
        <w:rPr>
          <w:sz w:val="20"/>
          <w:szCs w:val="20"/>
        </w:rPr>
      </w:pPr>
      <w:r w:rsidRPr="00BA22B5">
        <w:rPr>
          <w:b/>
          <w:i/>
          <w:sz w:val="20"/>
          <w:szCs w:val="20"/>
        </w:rPr>
        <w:t>Bruto</w:t>
      </w:r>
      <w:r w:rsidR="004609C6" w:rsidRPr="00BA22B5">
        <w:rPr>
          <w:b/>
          <w:i/>
          <w:sz w:val="20"/>
          <w:szCs w:val="20"/>
        </w:rPr>
        <w:t xml:space="preserve"> huishoudinkomen</w:t>
      </w:r>
      <w:r w:rsidR="004609C6" w:rsidRPr="00BA22B5">
        <w:rPr>
          <w:sz w:val="20"/>
          <w:szCs w:val="20"/>
        </w:rPr>
        <w:t xml:space="preserve"> - </w:t>
      </w:r>
      <w:r w:rsidR="00C36F71" w:rsidRPr="00BA22B5">
        <w:rPr>
          <w:sz w:val="20"/>
          <w:szCs w:val="20"/>
        </w:rPr>
        <w:t>Het bruto-inkomen bestaat uit het primair inkomen vermeerderd met uitkeringen inkomensverzekeringen, uitkeringen sociale voorziening, gebonden overdrachten, ontvangen inkomensoverdrachten, bijdragen van werknemers, werkgevers, uitkeringsontvangers en uitkeringsinstanties in de premies voor de sociale verzekeringen.</w:t>
      </w:r>
    </w:p>
    <w:p w14:paraId="27E051D0" w14:textId="18D4DAB8" w:rsidR="00132702" w:rsidRPr="00BA22B5" w:rsidRDefault="00AD1C88" w:rsidP="00132702">
      <w:pPr>
        <w:jc w:val="both"/>
        <w:rPr>
          <w:color w:val="000000"/>
          <w:sz w:val="20"/>
          <w:szCs w:val="20"/>
        </w:rPr>
      </w:pPr>
      <w:r w:rsidRPr="00BA22B5">
        <w:rPr>
          <w:b/>
          <w:i/>
          <w:sz w:val="20"/>
          <w:szCs w:val="20"/>
        </w:rPr>
        <w:t>Werkzaam in het o</w:t>
      </w:r>
      <w:r w:rsidR="00132702" w:rsidRPr="00BA22B5">
        <w:rPr>
          <w:b/>
          <w:i/>
          <w:sz w:val="20"/>
          <w:szCs w:val="20"/>
        </w:rPr>
        <w:t>nderwijs</w:t>
      </w:r>
      <w:r w:rsidR="00132702" w:rsidRPr="00BA22B5">
        <w:rPr>
          <w:sz w:val="20"/>
          <w:szCs w:val="20"/>
        </w:rPr>
        <w:t xml:space="preserve"> </w:t>
      </w:r>
      <w:r w:rsidRPr="00BA22B5">
        <w:rPr>
          <w:sz w:val="20"/>
          <w:szCs w:val="20"/>
        </w:rPr>
        <w:t>–</w:t>
      </w:r>
      <w:r w:rsidR="00132702" w:rsidRPr="00BA22B5">
        <w:rPr>
          <w:sz w:val="20"/>
          <w:szCs w:val="20"/>
        </w:rPr>
        <w:t xml:space="preserve"> </w:t>
      </w:r>
      <w:r w:rsidRPr="00BA22B5">
        <w:rPr>
          <w:sz w:val="20"/>
          <w:szCs w:val="20"/>
        </w:rPr>
        <w:t xml:space="preserve">Wanneer de </w:t>
      </w:r>
      <w:r w:rsidR="00486C92" w:rsidRPr="00BA22B5">
        <w:rPr>
          <w:sz w:val="20"/>
          <w:szCs w:val="20"/>
        </w:rPr>
        <w:t>hoofd</w:t>
      </w:r>
      <w:r w:rsidRPr="00BA22B5">
        <w:rPr>
          <w:sz w:val="20"/>
          <w:szCs w:val="20"/>
        </w:rPr>
        <w:t xml:space="preserve">baan valt in </w:t>
      </w:r>
      <w:r w:rsidR="00132702" w:rsidRPr="00BA22B5">
        <w:rPr>
          <w:color w:val="000000"/>
          <w:sz w:val="20"/>
          <w:szCs w:val="20"/>
        </w:rPr>
        <w:t>sector 852 (primair en speciaal onderwijs) of 8531 (voortgezet onderwijs) volgens de Standaard bedrijfsindeling (SBI) 2008</w:t>
      </w:r>
      <w:r w:rsidRPr="00BA22B5">
        <w:rPr>
          <w:color w:val="000000"/>
          <w:sz w:val="20"/>
          <w:szCs w:val="20"/>
        </w:rPr>
        <w:t>, dan ben je werkzaam in de sector onderwijs.</w:t>
      </w:r>
    </w:p>
    <w:p w14:paraId="3818C062" w14:textId="6E83CBAE" w:rsidR="00851030" w:rsidRPr="00BA22B5" w:rsidRDefault="00851030" w:rsidP="00851030">
      <w:pPr>
        <w:jc w:val="both"/>
        <w:rPr>
          <w:color w:val="000000"/>
          <w:sz w:val="20"/>
          <w:szCs w:val="20"/>
        </w:rPr>
      </w:pPr>
      <w:r w:rsidRPr="00BA22B5">
        <w:rPr>
          <w:b/>
          <w:i/>
          <w:sz w:val="20"/>
          <w:szCs w:val="20"/>
        </w:rPr>
        <w:t>Particulier huishouden</w:t>
      </w:r>
      <w:r w:rsidRPr="00BA22B5">
        <w:rPr>
          <w:sz w:val="20"/>
          <w:szCs w:val="20"/>
        </w:rPr>
        <w:t xml:space="preserve"> – </w:t>
      </w:r>
      <w:r w:rsidRPr="00BA22B5">
        <w:rPr>
          <w:color w:val="000000"/>
          <w:sz w:val="20"/>
          <w:szCs w:val="20"/>
        </w:rPr>
        <w:t>Een particulier huishouden bestaat uit één of meer personen die samen een woonruimte bewonen en zichzelf niet-bedrijfsmatig voorzien van de dagelijkse behoeften</w:t>
      </w:r>
      <w:r w:rsidR="002B6F0D" w:rsidRPr="00BA22B5">
        <w:rPr>
          <w:color w:val="000000"/>
          <w:sz w:val="20"/>
          <w:szCs w:val="20"/>
        </w:rPr>
        <w:t>.</w:t>
      </w:r>
      <w:r w:rsidRPr="00BA22B5">
        <w:rPr>
          <w:color w:val="000000"/>
          <w:sz w:val="20"/>
          <w:szCs w:val="20"/>
        </w:rPr>
        <w:t xml:space="preserve"> </w:t>
      </w:r>
    </w:p>
    <w:p w14:paraId="5C3B7FC2" w14:textId="1063040B" w:rsidR="00486C92" w:rsidRPr="00BA22B5" w:rsidRDefault="00486C92" w:rsidP="003B5B8B">
      <w:pPr>
        <w:jc w:val="both"/>
        <w:rPr>
          <w:sz w:val="20"/>
          <w:szCs w:val="20"/>
        </w:rPr>
      </w:pPr>
      <w:r w:rsidRPr="00BA22B5">
        <w:rPr>
          <w:b/>
          <w:i/>
          <w:sz w:val="20"/>
          <w:szCs w:val="20"/>
        </w:rPr>
        <w:t>Hoofdkostwinner</w:t>
      </w:r>
      <w:r w:rsidRPr="00BA22B5">
        <w:rPr>
          <w:sz w:val="20"/>
          <w:szCs w:val="20"/>
        </w:rPr>
        <w:t xml:space="preserve"> – </w:t>
      </w:r>
      <w:r w:rsidR="003B5B8B" w:rsidRPr="00BA22B5">
        <w:rPr>
          <w:color w:val="000000"/>
          <w:sz w:val="20"/>
          <w:szCs w:val="20"/>
        </w:rPr>
        <w:t>De hoofdkostwinner van het huishouden is de persoon met de belangrijkste sociaal economische categorie.</w:t>
      </w:r>
    </w:p>
    <w:p w14:paraId="67B9184F" w14:textId="77777777" w:rsidR="00721689" w:rsidRDefault="00721689" w:rsidP="00C36F71">
      <w:pPr>
        <w:jc w:val="both"/>
        <w:rPr>
          <w:rFonts w:cstheme="minorHAnsi"/>
          <w:b/>
        </w:rPr>
      </w:pPr>
    </w:p>
    <w:p w14:paraId="48D4080D" w14:textId="0BFF99B9" w:rsidR="00C36F71" w:rsidRPr="00C36F71" w:rsidRDefault="00760107" w:rsidP="00C36F71">
      <w:pPr>
        <w:jc w:val="both"/>
        <w:rPr>
          <w:rFonts w:cstheme="minorHAnsi"/>
          <w:b/>
        </w:rPr>
      </w:pPr>
      <w:r w:rsidRPr="00C36F71">
        <w:rPr>
          <w:rFonts w:cstheme="minorHAnsi"/>
          <w:b/>
        </w:rPr>
        <w:t>Afkortingen</w:t>
      </w:r>
    </w:p>
    <w:p w14:paraId="123D441A" w14:textId="7F61EA4A" w:rsidR="00C36F71" w:rsidRPr="00BA22B5" w:rsidRDefault="00760107" w:rsidP="00C36F71">
      <w:pPr>
        <w:jc w:val="both"/>
        <w:rPr>
          <w:rFonts w:cstheme="minorHAnsi"/>
          <w:sz w:val="20"/>
          <w:szCs w:val="20"/>
          <w:lang w:eastAsia="nl-NL"/>
        </w:rPr>
      </w:pPr>
      <w:r w:rsidRPr="00BA22B5">
        <w:rPr>
          <w:rFonts w:cstheme="minorHAnsi"/>
          <w:b/>
          <w:i/>
          <w:sz w:val="20"/>
          <w:szCs w:val="20"/>
          <w:lang w:eastAsia="nl-NL"/>
        </w:rPr>
        <w:t>CBS</w:t>
      </w:r>
      <w:r w:rsidRPr="00BA22B5">
        <w:rPr>
          <w:rFonts w:cstheme="minorHAnsi"/>
          <w:sz w:val="20"/>
          <w:szCs w:val="20"/>
          <w:lang w:eastAsia="nl-NL"/>
        </w:rPr>
        <w:t xml:space="preserve"> - Centraal Bureau voor de Statistiek</w:t>
      </w:r>
    </w:p>
    <w:p w14:paraId="69986C61" w14:textId="4D7CC1C0" w:rsidR="00760107" w:rsidRPr="00BA22B5" w:rsidRDefault="00760107" w:rsidP="00760107">
      <w:pPr>
        <w:autoSpaceDE w:val="0"/>
        <w:autoSpaceDN w:val="0"/>
        <w:spacing w:after="0" w:line="240" w:lineRule="auto"/>
        <w:rPr>
          <w:rFonts w:cstheme="minorHAnsi"/>
          <w:sz w:val="20"/>
          <w:szCs w:val="20"/>
          <w:lang w:eastAsia="nl-NL"/>
        </w:rPr>
      </w:pPr>
      <w:r w:rsidRPr="00BA22B5">
        <w:rPr>
          <w:rFonts w:cstheme="minorHAnsi"/>
          <w:b/>
          <w:i/>
          <w:sz w:val="20"/>
          <w:szCs w:val="20"/>
          <w:lang w:eastAsia="nl-NL"/>
        </w:rPr>
        <w:t>CvB</w:t>
      </w:r>
      <w:r w:rsidRPr="00BA22B5">
        <w:rPr>
          <w:rFonts w:cstheme="minorHAnsi"/>
          <w:sz w:val="20"/>
          <w:szCs w:val="20"/>
          <w:lang w:eastAsia="nl-NL"/>
        </w:rPr>
        <w:t xml:space="preserve"> - Centrum voor Beleidsstatistiek</w:t>
      </w:r>
    </w:p>
    <w:p w14:paraId="4621B851" w14:textId="77777777" w:rsidR="00486C92" w:rsidRPr="00BA22B5" w:rsidRDefault="00486C92" w:rsidP="00760107">
      <w:pPr>
        <w:autoSpaceDE w:val="0"/>
        <w:autoSpaceDN w:val="0"/>
        <w:spacing w:after="0" w:line="240" w:lineRule="auto"/>
        <w:rPr>
          <w:rFonts w:cstheme="minorHAnsi"/>
          <w:sz w:val="20"/>
          <w:szCs w:val="20"/>
          <w:lang w:eastAsia="nl-NL"/>
        </w:rPr>
      </w:pPr>
    </w:p>
    <w:p w14:paraId="1AE41E2A" w14:textId="7A60D79D" w:rsidR="00486C92" w:rsidRPr="00BA22B5" w:rsidRDefault="00486C92" w:rsidP="00486C92">
      <w:pPr>
        <w:autoSpaceDE w:val="0"/>
        <w:autoSpaceDN w:val="0"/>
        <w:spacing w:after="0" w:line="240" w:lineRule="auto"/>
        <w:rPr>
          <w:rFonts w:cstheme="minorHAnsi"/>
          <w:sz w:val="20"/>
          <w:szCs w:val="20"/>
          <w:lang w:eastAsia="nl-NL"/>
        </w:rPr>
      </w:pPr>
      <w:r w:rsidRPr="00BA22B5">
        <w:rPr>
          <w:rFonts w:cstheme="minorHAnsi"/>
          <w:b/>
          <w:i/>
          <w:sz w:val="20"/>
          <w:szCs w:val="20"/>
          <w:lang w:eastAsia="nl-NL"/>
        </w:rPr>
        <w:t>OCW</w:t>
      </w:r>
      <w:r w:rsidRPr="00BA22B5">
        <w:rPr>
          <w:rFonts w:cstheme="minorHAnsi"/>
          <w:sz w:val="20"/>
          <w:szCs w:val="20"/>
          <w:lang w:eastAsia="nl-NL"/>
        </w:rPr>
        <w:t xml:space="preserve"> – Ministerie van Onderwijs, Cultuur en Wetenschap</w:t>
      </w:r>
    </w:p>
    <w:p w14:paraId="51BCD389" w14:textId="77777777" w:rsidR="002B6F0D" w:rsidRPr="00BA22B5" w:rsidRDefault="002B6F0D" w:rsidP="00486C92">
      <w:pPr>
        <w:autoSpaceDE w:val="0"/>
        <w:autoSpaceDN w:val="0"/>
        <w:spacing w:after="0" w:line="240" w:lineRule="auto"/>
        <w:rPr>
          <w:rFonts w:cstheme="minorHAnsi"/>
          <w:b/>
          <w:i/>
          <w:sz w:val="20"/>
          <w:szCs w:val="20"/>
          <w:lang w:eastAsia="nl-NL"/>
        </w:rPr>
      </w:pPr>
    </w:p>
    <w:p w14:paraId="6F5227A7" w14:textId="786FDA90" w:rsidR="00486C92" w:rsidRPr="00BA22B5" w:rsidRDefault="00486C92" w:rsidP="00486C92">
      <w:pPr>
        <w:autoSpaceDE w:val="0"/>
        <w:autoSpaceDN w:val="0"/>
        <w:spacing w:after="0" w:line="240" w:lineRule="auto"/>
        <w:rPr>
          <w:rFonts w:cstheme="minorHAnsi"/>
          <w:sz w:val="20"/>
          <w:szCs w:val="20"/>
          <w:lang w:eastAsia="nl-NL"/>
        </w:rPr>
      </w:pPr>
      <w:r w:rsidRPr="00BA22B5">
        <w:rPr>
          <w:rFonts w:cstheme="minorHAnsi"/>
          <w:b/>
          <w:i/>
          <w:sz w:val="20"/>
          <w:szCs w:val="20"/>
          <w:lang w:eastAsia="nl-NL"/>
        </w:rPr>
        <w:t>SBI</w:t>
      </w:r>
      <w:r w:rsidRPr="00BA22B5">
        <w:rPr>
          <w:rFonts w:cstheme="minorHAnsi"/>
          <w:sz w:val="20"/>
          <w:szCs w:val="20"/>
          <w:lang w:eastAsia="nl-NL"/>
        </w:rPr>
        <w:t xml:space="preserve"> – Standaard bedrijfsindeling</w:t>
      </w:r>
    </w:p>
    <w:p w14:paraId="703C9319" w14:textId="77777777" w:rsidR="00486C92" w:rsidRPr="00C36F71" w:rsidRDefault="00486C92" w:rsidP="00486C92">
      <w:pPr>
        <w:autoSpaceDE w:val="0"/>
        <w:autoSpaceDN w:val="0"/>
        <w:spacing w:after="0" w:line="240" w:lineRule="auto"/>
        <w:rPr>
          <w:rFonts w:cstheme="minorHAnsi"/>
          <w:szCs w:val="24"/>
          <w:lang w:eastAsia="nl-NL"/>
        </w:rPr>
      </w:pPr>
    </w:p>
    <w:p w14:paraId="2E9311B9" w14:textId="77777777" w:rsidR="00486C92" w:rsidRPr="00C36F71" w:rsidRDefault="00486C92" w:rsidP="00760107">
      <w:pPr>
        <w:autoSpaceDE w:val="0"/>
        <w:autoSpaceDN w:val="0"/>
        <w:spacing w:after="0" w:line="240" w:lineRule="auto"/>
        <w:rPr>
          <w:rFonts w:cstheme="minorHAnsi"/>
          <w:szCs w:val="24"/>
          <w:lang w:eastAsia="nl-NL"/>
        </w:rPr>
      </w:pPr>
    </w:p>
    <w:p w14:paraId="3A1D07FC" w14:textId="1317082D" w:rsidR="00760107" w:rsidRPr="003C0BBF" w:rsidRDefault="00760107" w:rsidP="00760107">
      <w:pPr>
        <w:autoSpaceDE w:val="0"/>
        <w:autoSpaceDN w:val="0"/>
        <w:spacing w:after="0" w:line="240" w:lineRule="auto"/>
        <w:rPr>
          <w:rFonts w:cstheme="minorHAnsi"/>
          <w:szCs w:val="24"/>
          <w:highlight w:val="yellow"/>
          <w:lang w:eastAsia="nl-NL"/>
        </w:rPr>
      </w:pPr>
    </w:p>
    <w:p w14:paraId="713230E6" w14:textId="77777777" w:rsidR="00183F61" w:rsidRDefault="00183F61" w:rsidP="00183F61">
      <w:pPr>
        <w:autoSpaceDE w:val="0"/>
        <w:autoSpaceDN w:val="0"/>
        <w:spacing w:after="0" w:line="240" w:lineRule="auto"/>
        <w:rPr>
          <w:rFonts w:cstheme="minorHAnsi"/>
          <w:szCs w:val="24"/>
          <w:lang w:eastAsia="nl-NL"/>
        </w:rPr>
      </w:pPr>
    </w:p>
    <w:p w14:paraId="708B37AF" w14:textId="60EC16FA" w:rsidR="00CD04F1" w:rsidRDefault="00CD04F1">
      <w:pPr>
        <w:rPr>
          <w:rFonts w:cstheme="minorHAnsi"/>
          <w:b/>
        </w:rPr>
      </w:pPr>
      <w:r>
        <w:rPr>
          <w:rFonts w:cstheme="minorHAnsi"/>
          <w:b/>
        </w:rPr>
        <w:br w:type="page"/>
      </w:r>
    </w:p>
    <w:p w14:paraId="5C3A522E" w14:textId="77777777" w:rsidR="00183F61" w:rsidRDefault="00183F61" w:rsidP="00183F61">
      <w:pPr>
        <w:pStyle w:val="Geenafstand"/>
        <w:rPr>
          <w:rFonts w:cstheme="minorHAnsi"/>
          <w:b/>
        </w:rPr>
      </w:pPr>
    </w:p>
    <w:p w14:paraId="4F457942" w14:textId="77777777" w:rsidR="00183F61" w:rsidRPr="004B19D6" w:rsidRDefault="00183F61" w:rsidP="00183F61">
      <w:pPr>
        <w:autoSpaceDE w:val="0"/>
        <w:autoSpaceDN w:val="0"/>
        <w:spacing w:after="0" w:line="240" w:lineRule="auto"/>
        <w:rPr>
          <w:rFonts w:cstheme="minorHAnsi"/>
          <w:b/>
          <w:lang w:eastAsia="nl-NL"/>
        </w:rPr>
      </w:pPr>
      <w:r w:rsidRPr="004B19D6">
        <w:rPr>
          <w:rFonts w:cstheme="minorHAnsi"/>
          <w:b/>
          <w:lang w:eastAsia="nl-NL"/>
        </w:rPr>
        <w:t>Bronnen</w:t>
      </w:r>
    </w:p>
    <w:p w14:paraId="3749BA9C" w14:textId="77777777" w:rsidR="00183F61" w:rsidRPr="003A32EE" w:rsidRDefault="00183F61" w:rsidP="00183F61">
      <w:pPr>
        <w:autoSpaceDE w:val="0"/>
        <w:autoSpaceDN w:val="0"/>
        <w:spacing w:after="0" w:line="240" w:lineRule="auto"/>
        <w:rPr>
          <w:rFonts w:cstheme="minorHAnsi"/>
          <w:b/>
          <w:szCs w:val="24"/>
          <w:lang w:eastAsia="nl-NL"/>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2312"/>
        <w:gridCol w:w="6748"/>
      </w:tblGrid>
      <w:tr w:rsidR="00F17C8A" w:rsidRPr="003A32EE" w14:paraId="06443A1C" w14:textId="77777777" w:rsidTr="002726BC">
        <w:trPr>
          <w:trHeight w:val="255"/>
        </w:trPr>
        <w:tc>
          <w:tcPr>
            <w:tcW w:w="2314" w:type="dxa"/>
            <w:hideMark/>
          </w:tcPr>
          <w:p w14:paraId="66076D0B" w14:textId="77777777" w:rsidR="00F17C8A" w:rsidRPr="003A32EE" w:rsidRDefault="00F17C8A" w:rsidP="00FD2CE4">
            <w:pPr>
              <w:autoSpaceDE w:val="0"/>
              <w:autoSpaceDN w:val="0"/>
              <w:rPr>
                <w:rFonts w:cstheme="minorHAnsi"/>
                <w:b/>
                <w:bCs/>
                <w:sz w:val="20"/>
                <w:szCs w:val="20"/>
                <w:lang w:eastAsia="nl-NL"/>
              </w:rPr>
            </w:pPr>
            <w:r w:rsidRPr="003A32EE">
              <w:rPr>
                <w:rFonts w:cstheme="minorHAnsi"/>
                <w:b/>
                <w:bCs/>
                <w:sz w:val="20"/>
                <w:szCs w:val="20"/>
                <w:lang w:eastAsia="nl-NL"/>
              </w:rPr>
              <w:t>Bron</w:t>
            </w:r>
          </w:p>
        </w:tc>
        <w:tc>
          <w:tcPr>
            <w:tcW w:w="6756" w:type="dxa"/>
          </w:tcPr>
          <w:p w14:paraId="45EF3EAD" w14:textId="1580CCBF" w:rsidR="00F17C8A" w:rsidRPr="004C063B" w:rsidRDefault="004C063B" w:rsidP="00FD2CE4">
            <w:pPr>
              <w:autoSpaceDE w:val="0"/>
              <w:autoSpaceDN w:val="0"/>
              <w:rPr>
                <w:rFonts w:cstheme="minorHAnsi"/>
                <w:b/>
                <w:bCs/>
                <w:sz w:val="20"/>
                <w:szCs w:val="20"/>
                <w:lang w:eastAsia="nl-NL"/>
              </w:rPr>
            </w:pPr>
            <w:r w:rsidRPr="004C063B">
              <w:rPr>
                <w:rFonts w:cstheme="minorHAnsi"/>
                <w:b/>
                <w:sz w:val="20"/>
                <w:szCs w:val="20"/>
                <w:lang w:eastAsia="nl-NL"/>
              </w:rPr>
              <w:t>Basisregistratie Personen (BRP)</w:t>
            </w:r>
          </w:p>
        </w:tc>
      </w:tr>
      <w:tr w:rsidR="00F17C8A" w:rsidRPr="008B4C75" w14:paraId="3B212DDF" w14:textId="77777777" w:rsidTr="002726BC">
        <w:trPr>
          <w:trHeight w:val="1516"/>
        </w:trPr>
        <w:tc>
          <w:tcPr>
            <w:tcW w:w="2314" w:type="dxa"/>
            <w:hideMark/>
          </w:tcPr>
          <w:p w14:paraId="0275EDB0" w14:textId="77777777" w:rsidR="00F17C8A" w:rsidRPr="008B4C75" w:rsidRDefault="00F17C8A" w:rsidP="00076670">
            <w:pPr>
              <w:autoSpaceDE w:val="0"/>
              <w:autoSpaceDN w:val="0"/>
              <w:spacing w:line="276" w:lineRule="auto"/>
              <w:rPr>
                <w:rFonts w:cstheme="minorHAnsi"/>
                <w:sz w:val="20"/>
                <w:szCs w:val="20"/>
                <w:lang w:eastAsia="nl-NL"/>
              </w:rPr>
            </w:pPr>
            <w:r w:rsidRPr="008B4C75">
              <w:rPr>
                <w:rFonts w:cstheme="minorHAnsi"/>
                <w:sz w:val="20"/>
                <w:szCs w:val="20"/>
                <w:lang w:eastAsia="nl-NL"/>
              </w:rPr>
              <w:t>Algemene beschrijving</w:t>
            </w:r>
          </w:p>
        </w:tc>
        <w:tc>
          <w:tcPr>
            <w:tcW w:w="6756" w:type="dxa"/>
          </w:tcPr>
          <w:p w14:paraId="148E88C2" w14:textId="71F7CF7F" w:rsidR="00F17C8A" w:rsidRPr="008B4C75" w:rsidRDefault="004C063B" w:rsidP="004C063B">
            <w:pPr>
              <w:autoSpaceDE w:val="0"/>
              <w:autoSpaceDN w:val="0"/>
              <w:spacing w:line="276" w:lineRule="auto"/>
              <w:rPr>
                <w:rFonts w:cstheme="minorHAnsi"/>
                <w:sz w:val="20"/>
                <w:szCs w:val="20"/>
                <w:lang w:eastAsia="nl-NL"/>
              </w:rPr>
            </w:pPr>
            <w:r w:rsidRPr="004C063B">
              <w:rPr>
                <w:rFonts w:cstheme="minorHAnsi"/>
                <w:sz w:val="20"/>
                <w:szCs w:val="20"/>
                <w:lang w:eastAsia="nl-NL"/>
              </w:rPr>
              <w:t xml:space="preserve">De </w:t>
            </w:r>
            <w:r>
              <w:rPr>
                <w:rFonts w:cstheme="minorHAnsi"/>
                <w:sz w:val="20"/>
                <w:szCs w:val="20"/>
                <w:lang w:eastAsia="nl-NL"/>
              </w:rPr>
              <w:t>BRP</w:t>
            </w:r>
            <w:r w:rsidRPr="004C063B">
              <w:rPr>
                <w:rFonts w:cstheme="minorHAnsi"/>
                <w:sz w:val="20"/>
                <w:szCs w:val="20"/>
                <w:lang w:eastAsia="nl-NL"/>
              </w:rPr>
              <w:t xml:space="preserve"> is een geautomatiseerd persoonsregistratiesysteem van de gemeenten. Het doel van de </w:t>
            </w:r>
            <w:r>
              <w:rPr>
                <w:rFonts w:cstheme="minorHAnsi"/>
                <w:sz w:val="20"/>
                <w:szCs w:val="20"/>
                <w:lang w:eastAsia="nl-NL"/>
              </w:rPr>
              <w:t>BRP</w:t>
            </w:r>
            <w:r w:rsidRPr="004C063B">
              <w:rPr>
                <w:rFonts w:cstheme="minorHAnsi"/>
                <w:sz w:val="20"/>
                <w:szCs w:val="20"/>
                <w:lang w:eastAsia="nl-NL"/>
              </w:rPr>
              <w:t xml:space="preserve"> is het verkrijgen van informatie over de in Nederland woonachtige personen. De gegevens uit de </w:t>
            </w:r>
            <w:r>
              <w:rPr>
                <w:rFonts w:cstheme="minorHAnsi"/>
                <w:sz w:val="20"/>
                <w:szCs w:val="20"/>
                <w:lang w:eastAsia="nl-NL"/>
              </w:rPr>
              <w:t>BRP</w:t>
            </w:r>
            <w:r w:rsidRPr="004C063B">
              <w:rPr>
                <w:rFonts w:cstheme="minorHAnsi"/>
                <w:sz w:val="20"/>
                <w:szCs w:val="20"/>
                <w:lang w:eastAsia="nl-NL"/>
              </w:rPr>
              <w:t xml:space="preserve"> worden door de overheid gebruikt om bijvoorbeeld paspoorten te maken, maar ook bij het verstrekken van uitkeringen en bij het bepalen van de stemgerechtigden bij verkiezingen. De populatie van de </w:t>
            </w:r>
            <w:r>
              <w:rPr>
                <w:rFonts w:cstheme="minorHAnsi"/>
                <w:sz w:val="20"/>
                <w:szCs w:val="20"/>
                <w:lang w:eastAsia="nl-NL"/>
              </w:rPr>
              <w:t>BRP</w:t>
            </w:r>
            <w:r w:rsidRPr="004C063B">
              <w:rPr>
                <w:rFonts w:cstheme="minorHAnsi"/>
                <w:sz w:val="20"/>
                <w:szCs w:val="20"/>
                <w:lang w:eastAsia="nl-NL"/>
              </w:rPr>
              <w:t xml:space="preserve"> bestaat uit personen die in Nederland wonen of gewoond hebben. Het bestand bevat gegevens als geboortedatum, geslacht, geboorteland en woonplaats. </w:t>
            </w:r>
          </w:p>
        </w:tc>
      </w:tr>
      <w:tr w:rsidR="00F17C8A" w:rsidRPr="003A32EE" w14:paraId="36014C86" w14:textId="77777777" w:rsidTr="002726BC">
        <w:trPr>
          <w:trHeight w:val="255"/>
        </w:trPr>
        <w:tc>
          <w:tcPr>
            <w:tcW w:w="2314" w:type="dxa"/>
            <w:hideMark/>
          </w:tcPr>
          <w:p w14:paraId="02E9A1F5" w14:textId="77777777" w:rsidR="00F17C8A" w:rsidRPr="003A32EE" w:rsidRDefault="00F17C8A" w:rsidP="00076670">
            <w:pPr>
              <w:autoSpaceDE w:val="0"/>
              <w:autoSpaceDN w:val="0"/>
              <w:spacing w:line="276" w:lineRule="auto"/>
              <w:rPr>
                <w:rFonts w:cstheme="minorHAnsi"/>
                <w:sz w:val="20"/>
                <w:szCs w:val="20"/>
                <w:lang w:eastAsia="nl-NL"/>
              </w:rPr>
            </w:pPr>
            <w:r w:rsidRPr="003A32EE">
              <w:rPr>
                <w:rFonts w:cstheme="minorHAnsi"/>
                <w:sz w:val="20"/>
                <w:szCs w:val="20"/>
                <w:lang w:eastAsia="nl-NL"/>
              </w:rPr>
              <w:t>Leverancier</w:t>
            </w:r>
          </w:p>
        </w:tc>
        <w:tc>
          <w:tcPr>
            <w:tcW w:w="6756" w:type="dxa"/>
          </w:tcPr>
          <w:p w14:paraId="57F6E6CE" w14:textId="1D8B4DA9" w:rsidR="00F17C8A" w:rsidRPr="003A32EE" w:rsidRDefault="004C063B" w:rsidP="00076670">
            <w:pPr>
              <w:autoSpaceDE w:val="0"/>
              <w:autoSpaceDN w:val="0"/>
              <w:spacing w:line="276" w:lineRule="auto"/>
              <w:rPr>
                <w:rFonts w:cstheme="minorHAnsi"/>
                <w:sz w:val="20"/>
                <w:szCs w:val="20"/>
                <w:lang w:eastAsia="nl-NL"/>
              </w:rPr>
            </w:pPr>
            <w:r>
              <w:rPr>
                <w:rFonts w:cstheme="minorHAnsi"/>
                <w:sz w:val="20"/>
                <w:szCs w:val="20"/>
                <w:lang w:eastAsia="nl-NL"/>
              </w:rPr>
              <w:t>Gemeenten</w:t>
            </w:r>
          </w:p>
        </w:tc>
      </w:tr>
      <w:tr w:rsidR="00F17C8A" w:rsidRPr="003A32EE" w14:paraId="7FB33160" w14:textId="77777777" w:rsidTr="002726BC">
        <w:trPr>
          <w:trHeight w:val="80"/>
        </w:trPr>
        <w:tc>
          <w:tcPr>
            <w:tcW w:w="2314" w:type="dxa"/>
            <w:hideMark/>
          </w:tcPr>
          <w:p w14:paraId="6AE1796F" w14:textId="77777777" w:rsidR="00F17C8A" w:rsidRPr="003A32EE" w:rsidRDefault="00F17C8A" w:rsidP="00076670">
            <w:pPr>
              <w:autoSpaceDE w:val="0"/>
              <w:autoSpaceDN w:val="0"/>
              <w:spacing w:line="276" w:lineRule="auto"/>
              <w:rPr>
                <w:rFonts w:cstheme="minorHAnsi"/>
                <w:sz w:val="20"/>
                <w:szCs w:val="20"/>
                <w:lang w:eastAsia="nl-NL"/>
              </w:rPr>
            </w:pPr>
            <w:r w:rsidRPr="003A32EE">
              <w:rPr>
                <w:rFonts w:cstheme="minorHAnsi"/>
                <w:sz w:val="20"/>
                <w:szCs w:val="20"/>
                <w:lang w:eastAsia="nl-NL"/>
              </w:rPr>
              <w:t>Integraal of steekproef</w:t>
            </w:r>
          </w:p>
        </w:tc>
        <w:tc>
          <w:tcPr>
            <w:tcW w:w="6756" w:type="dxa"/>
            <w:hideMark/>
          </w:tcPr>
          <w:p w14:paraId="66FC7F79" w14:textId="41FF0087" w:rsidR="00F17C8A" w:rsidRPr="003A32EE" w:rsidRDefault="00F17C8A" w:rsidP="00C06317">
            <w:pPr>
              <w:autoSpaceDE w:val="0"/>
              <w:autoSpaceDN w:val="0"/>
              <w:spacing w:line="276" w:lineRule="auto"/>
              <w:rPr>
                <w:rFonts w:cstheme="minorHAnsi"/>
                <w:sz w:val="20"/>
                <w:szCs w:val="20"/>
                <w:lang w:eastAsia="nl-NL"/>
              </w:rPr>
            </w:pPr>
            <w:r w:rsidRPr="003A32EE">
              <w:rPr>
                <w:rFonts w:cstheme="minorHAnsi"/>
                <w:sz w:val="20"/>
                <w:szCs w:val="20"/>
                <w:lang w:eastAsia="nl-NL"/>
              </w:rPr>
              <w:t>Integraal</w:t>
            </w:r>
            <w:r>
              <w:rPr>
                <w:rFonts w:cstheme="minorHAnsi"/>
                <w:sz w:val="20"/>
                <w:szCs w:val="20"/>
                <w:lang w:eastAsia="nl-NL"/>
              </w:rPr>
              <w:t xml:space="preserve"> </w:t>
            </w:r>
          </w:p>
        </w:tc>
      </w:tr>
      <w:tr w:rsidR="00F17C8A" w:rsidRPr="003A32EE" w14:paraId="68D3A79C" w14:textId="77777777" w:rsidTr="002726BC">
        <w:trPr>
          <w:trHeight w:val="255"/>
        </w:trPr>
        <w:tc>
          <w:tcPr>
            <w:tcW w:w="2314" w:type="dxa"/>
            <w:hideMark/>
          </w:tcPr>
          <w:p w14:paraId="187A29B6" w14:textId="77777777" w:rsidR="00F17C8A" w:rsidRPr="003A32EE" w:rsidRDefault="00F17C8A" w:rsidP="00076670">
            <w:pPr>
              <w:autoSpaceDE w:val="0"/>
              <w:autoSpaceDN w:val="0"/>
              <w:spacing w:line="276" w:lineRule="auto"/>
              <w:rPr>
                <w:rFonts w:cstheme="minorHAnsi"/>
                <w:sz w:val="20"/>
                <w:szCs w:val="20"/>
                <w:lang w:eastAsia="nl-NL"/>
              </w:rPr>
            </w:pPr>
            <w:r w:rsidRPr="003A32EE">
              <w:rPr>
                <w:rFonts w:cstheme="minorHAnsi"/>
                <w:sz w:val="20"/>
                <w:szCs w:val="20"/>
                <w:lang w:eastAsia="nl-NL"/>
              </w:rPr>
              <w:t>Periodiciteit</w:t>
            </w:r>
          </w:p>
        </w:tc>
        <w:tc>
          <w:tcPr>
            <w:tcW w:w="6756" w:type="dxa"/>
            <w:hideMark/>
          </w:tcPr>
          <w:p w14:paraId="219EEC15" w14:textId="616A2B75" w:rsidR="00F17C8A" w:rsidRPr="003A32EE" w:rsidRDefault="004C063B" w:rsidP="004C063B">
            <w:pPr>
              <w:autoSpaceDE w:val="0"/>
              <w:autoSpaceDN w:val="0"/>
              <w:spacing w:line="276" w:lineRule="auto"/>
              <w:rPr>
                <w:rFonts w:cstheme="minorHAnsi"/>
                <w:sz w:val="20"/>
                <w:szCs w:val="20"/>
                <w:lang w:eastAsia="nl-NL"/>
              </w:rPr>
            </w:pPr>
            <w:r w:rsidRPr="004C063B">
              <w:rPr>
                <w:rFonts w:cstheme="minorHAnsi"/>
                <w:sz w:val="20"/>
                <w:szCs w:val="20"/>
                <w:lang w:eastAsia="nl-NL"/>
              </w:rPr>
              <w:t>Er worden doorlopend cijfers ontvangen, sinds 1 oktober 1994.</w:t>
            </w:r>
          </w:p>
        </w:tc>
      </w:tr>
    </w:tbl>
    <w:p w14:paraId="051EB912" w14:textId="0945A313" w:rsidR="0017117A" w:rsidRDefault="0017117A" w:rsidP="00183F61">
      <w:pPr>
        <w:autoSpaceDE w:val="0"/>
        <w:autoSpaceDN w:val="0"/>
        <w:spacing w:after="0" w:line="240" w:lineRule="auto"/>
        <w:rPr>
          <w:rFonts w:cstheme="minorHAnsi"/>
          <w:szCs w:val="24"/>
          <w:lang w:eastAsia="nl-NL"/>
        </w:rPr>
      </w:pPr>
    </w:p>
    <w:p w14:paraId="4F8DD0F1" w14:textId="77777777" w:rsidR="008B7301" w:rsidRDefault="008B7301" w:rsidP="00183F61">
      <w:pPr>
        <w:autoSpaceDE w:val="0"/>
        <w:autoSpaceDN w:val="0"/>
        <w:spacing w:after="0" w:line="240" w:lineRule="auto"/>
        <w:rPr>
          <w:rFonts w:cstheme="minorHAnsi"/>
          <w:szCs w:val="24"/>
          <w:lang w:eastAsia="nl-NL"/>
        </w:rPr>
      </w:pPr>
    </w:p>
    <w:tbl>
      <w:tblPr>
        <w:tblStyle w:val="Tabelraster"/>
        <w:tblW w:w="5000" w:type="pct"/>
        <w:tblBorders>
          <w:insideH w:val="none" w:sz="0" w:space="0" w:color="auto"/>
          <w:insideV w:val="none" w:sz="0" w:space="0" w:color="auto"/>
        </w:tblBorders>
        <w:tblLook w:val="04A0" w:firstRow="1" w:lastRow="0" w:firstColumn="1" w:lastColumn="0" w:noHBand="0" w:noVBand="1"/>
      </w:tblPr>
      <w:tblGrid>
        <w:gridCol w:w="2343"/>
        <w:gridCol w:w="6717"/>
      </w:tblGrid>
      <w:tr w:rsidR="00EA3456" w:rsidRPr="00EA3456" w14:paraId="2227B160" w14:textId="77777777" w:rsidTr="0095503D">
        <w:trPr>
          <w:trHeight w:val="300"/>
        </w:trPr>
        <w:tc>
          <w:tcPr>
            <w:tcW w:w="1293" w:type="pct"/>
            <w:hideMark/>
          </w:tcPr>
          <w:p w14:paraId="75569319" w14:textId="77777777" w:rsidR="00EA3456" w:rsidRPr="00EA3456" w:rsidRDefault="00EA3456" w:rsidP="00EC21A5">
            <w:pPr>
              <w:autoSpaceDE w:val="0"/>
              <w:autoSpaceDN w:val="0"/>
              <w:rPr>
                <w:rFonts w:cstheme="minorHAnsi"/>
                <w:b/>
                <w:bCs/>
                <w:sz w:val="20"/>
                <w:szCs w:val="20"/>
                <w:lang w:eastAsia="nl-NL"/>
              </w:rPr>
            </w:pPr>
            <w:r w:rsidRPr="00EA3456">
              <w:rPr>
                <w:rFonts w:cstheme="minorHAnsi"/>
                <w:b/>
                <w:bCs/>
                <w:sz w:val="20"/>
                <w:szCs w:val="20"/>
                <w:lang w:eastAsia="nl-NL"/>
              </w:rPr>
              <w:t>Bron</w:t>
            </w:r>
          </w:p>
        </w:tc>
        <w:tc>
          <w:tcPr>
            <w:tcW w:w="3707" w:type="pct"/>
            <w:hideMark/>
          </w:tcPr>
          <w:p w14:paraId="1556131B" w14:textId="77777777" w:rsidR="00EA3456" w:rsidRPr="00EA3456" w:rsidRDefault="00EA3456" w:rsidP="00EC21A5">
            <w:pPr>
              <w:autoSpaceDE w:val="0"/>
              <w:autoSpaceDN w:val="0"/>
              <w:rPr>
                <w:rFonts w:cstheme="minorHAnsi"/>
                <w:b/>
                <w:bCs/>
                <w:sz w:val="20"/>
                <w:szCs w:val="20"/>
                <w:lang w:eastAsia="nl-NL"/>
              </w:rPr>
            </w:pPr>
            <w:r w:rsidRPr="00EA3456">
              <w:rPr>
                <w:rFonts w:cstheme="minorHAnsi"/>
                <w:b/>
                <w:bCs/>
                <w:sz w:val="20"/>
                <w:szCs w:val="20"/>
                <w:lang w:eastAsia="nl-NL"/>
              </w:rPr>
              <w:t>Integraal huishoudensinkomen (IHI)</w:t>
            </w:r>
          </w:p>
        </w:tc>
      </w:tr>
      <w:tr w:rsidR="00EA3456" w:rsidRPr="00EA3456" w14:paraId="5D25E109" w14:textId="77777777" w:rsidTr="0095503D">
        <w:trPr>
          <w:trHeight w:val="1200"/>
        </w:trPr>
        <w:tc>
          <w:tcPr>
            <w:tcW w:w="1293" w:type="pct"/>
            <w:hideMark/>
          </w:tcPr>
          <w:p w14:paraId="67CC7D0D" w14:textId="77777777" w:rsidR="00EA3456" w:rsidRPr="00EA3456" w:rsidRDefault="00EA3456" w:rsidP="00EC21A5">
            <w:pPr>
              <w:autoSpaceDE w:val="0"/>
              <w:autoSpaceDN w:val="0"/>
              <w:rPr>
                <w:rFonts w:cstheme="minorHAnsi"/>
                <w:sz w:val="20"/>
                <w:szCs w:val="20"/>
                <w:lang w:eastAsia="nl-NL"/>
              </w:rPr>
            </w:pPr>
            <w:r w:rsidRPr="00EA3456">
              <w:rPr>
                <w:rFonts w:cstheme="minorHAnsi"/>
                <w:sz w:val="20"/>
                <w:szCs w:val="20"/>
                <w:lang w:eastAsia="nl-NL"/>
              </w:rPr>
              <w:t>Algemene beschrijving</w:t>
            </w:r>
          </w:p>
        </w:tc>
        <w:tc>
          <w:tcPr>
            <w:tcW w:w="3707" w:type="pct"/>
            <w:hideMark/>
          </w:tcPr>
          <w:p w14:paraId="2AE63903" w14:textId="207C3C37" w:rsidR="00EA3456" w:rsidRPr="00EA3456" w:rsidRDefault="00EA3456" w:rsidP="00BA22B5">
            <w:pPr>
              <w:autoSpaceDE w:val="0"/>
              <w:autoSpaceDN w:val="0"/>
              <w:rPr>
                <w:rFonts w:cstheme="minorHAnsi"/>
                <w:sz w:val="20"/>
                <w:szCs w:val="20"/>
                <w:lang w:eastAsia="nl-NL"/>
              </w:rPr>
            </w:pPr>
            <w:r w:rsidRPr="00EA3456">
              <w:rPr>
                <w:rFonts w:cstheme="minorHAnsi"/>
                <w:sz w:val="20"/>
                <w:szCs w:val="20"/>
                <w:lang w:eastAsia="nl-NL"/>
              </w:rPr>
              <w:t>Het bestand integraal huishoudensinkomen bevat uit registraties afgeleide gegevens over het jaarinkomen van huishoudens in Nederland. De doelpopulatie bestaat u</w:t>
            </w:r>
            <w:r w:rsidR="009C7D11">
              <w:rPr>
                <w:rFonts w:cstheme="minorHAnsi"/>
                <w:sz w:val="20"/>
                <w:szCs w:val="20"/>
                <w:lang w:eastAsia="nl-NL"/>
              </w:rPr>
              <w:t xml:space="preserve">it de Nederlandse bevolking op </w:t>
            </w:r>
            <w:r w:rsidRPr="00EA3456">
              <w:rPr>
                <w:rFonts w:cstheme="minorHAnsi"/>
                <w:sz w:val="20"/>
                <w:szCs w:val="20"/>
                <w:lang w:eastAsia="nl-NL"/>
              </w:rPr>
              <w:t xml:space="preserve">1 </w:t>
            </w:r>
            <w:r w:rsidR="009C7D11">
              <w:rPr>
                <w:rFonts w:cstheme="minorHAnsi"/>
                <w:sz w:val="20"/>
                <w:szCs w:val="20"/>
                <w:lang w:eastAsia="nl-NL"/>
              </w:rPr>
              <w:t xml:space="preserve">januari </w:t>
            </w:r>
            <w:r w:rsidRPr="00EA3456">
              <w:rPr>
                <w:rFonts w:cstheme="minorHAnsi"/>
                <w:sz w:val="20"/>
                <w:szCs w:val="20"/>
                <w:lang w:eastAsia="nl-NL"/>
              </w:rPr>
              <w:t xml:space="preserve">van een </w:t>
            </w:r>
            <w:proofErr w:type="spellStart"/>
            <w:r w:rsidRPr="00EA3456">
              <w:rPr>
                <w:rFonts w:cstheme="minorHAnsi"/>
                <w:sz w:val="20"/>
                <w:szCs w:val="20"/>
                <w:lang w:eastAsia="nl-NL"/>
              </w:rPr>
              <w:t>onderzoek</w:t>
            </w:r>
            <w:r w:rsidR="00BA22B5">
              <w:rPr>
                <w:rFonts w:cstheme="minorHAnsi"/>
                <w:sz w:val="20"/>
                <w:szCs w:val="20"/>
                <w:lang w:eastAsia="nl-NL"/>
              </w:rPr>
              <w:t>s</w:t>
            </w:r>
            <w:r w:rsidRPr="00EA3456">
              <w:rPr>
                <w:rFonts w:cstheme="minorHAnsi"/>
                <w:sz w:val="20"/>
                <w:szCs w:val="20"/>
                <w:lang w:eastAsia="nl-NL"/>
              </w:rPr>
              <w:t>jaar</w:t>
            </w:r>
            <w:proofErr w:type="spellEnd"/>
            <w:r w:rsidRPr="00EA3456">
              <w:rPr>
                <w:rFonts w:cstheme="minorHAnsi"/>
                <w:sz w:val="20"/>
                <w:szCs w:val="20"/>
                <w:lang w:eastAsia="nl-NL"/>
              </w:rPr>
              <w:t>. Het betreft alleen personen die zijn ingeschreven in de BRP.</w:t>
            </w:r>
          </w:p>
        </w:tc>
      </w:tr>
      <w:tr w:rsidR="00EA3456" w:rsidRPr="00EA3456" w14:paraId="70B9AC3B" w14:textId="77777777" w:rsidTr="0095503D">
        <w:trPr>
          <w:trHeight w:val="300"/>
        </w:trPr>
        <w:tc>
          <w:tcPr>
            <w:tcW w:w="1293" w:type="pct"/>
            <w:hideMark/>
          </w:tcPr>
          <w:p w14:paraId="1136F1E9" w14:textId="77777777" w:rsidR="00EA3456" w:rsidRPr="00EA3456" w:rsidRDefault="00EA3456" w:rsidP="00EC21A5">
            <w:pPr>
              <w:autoSpaceDE w:val="0"/>
              <w:autoSpaceDN w:val="0"/>
              <w:rPr>
                <w:rFonts w:cstheme="minorHAnsi"/>
                <w:sz w:val="20"/>
                <w:szCs w:val="20"/>
                <w:lang w:eastAsia="nl-NL"/>
              </w:rPr>
            </w:pPr>
            <w:r w:rsidRPr="00EA3456">
              <w:rPr>
                <w:rFonts w:cstheme="minorHAnsi"/>
                <w:sz w:val="20"/>
                <w:szCs w:val="20"/>
                <w:lang w:eastAsia="nl-NL"/>
              </w:rPr>
              <w:t>Leverancier</w:t>
            </w:r>
          </w:p>
        </w:tc>
        <w:tc>
          <w:tcPr>
            <w:tcW w:w="3707" w:type="pct"/>
            <w:hideMark/>
          </w:tcPr>
          <w:p w14:paraId="03EB30BE" w14:textId="77777777" w:rsidR="00EA3456" w:rsidRPr="00EA3456" w:rsidRDefault="00EA3456" w:rsidP="00EC21A5">
            <w:pPr>
              <w:autoSpaceDE w:val="0"/>
              <w:autoSpaceDN w:val="0"/>
              <w:rPr>
                <w:rFonts w:cstheme="minorHAnsi"/>
                <w:sz w:val="20"/>
                <w:szCs w:val="20"/>
                <w:lang w:eastAsia="nl-NL"/>
              </w:rPr>
            </w:pPr>
            <w:r w:rsidRPr="00EA3456">
              <w:rPr>
                <w:rFonts w:cstheme="minorHAnsi"/>
                <w:sz w:val="20"/>
                <w:szCs w:val="20"/>
                <w:lang w:eastAsia="nl-NL"/>
              </w:rPr>
              <w:t>Onder andere de Belastingdienst en Dienst Uitvoering Onderwijs (DUO).</w:t>
            </w:r>
          </w:p>
        </w:tc>
      </w:tr>
      <w:tr w:rsidR="00EA3456" w:rsidRPr="00EA3456" w14:paraId="3E2B14AE" w14:textId="77777777" w:rsidTr="0095503D">
        <w:trPr>
          <w:trHeight w:val="300"/>
        </w:trPr>
        <w:tc>
          <w:tcPr>
            <w:tcW w:w="1293" w:type="pct"/>
            <w:hideMark/>
          </w:tcPr>
          <w:p w14:paraId="1E115104" w14:textId="77777777" w:rsidR="00EA3456" w:rsidRPr="00EA3456" w:rsidRDefault="00EA3456" w:rsidP="00EC21A5">
            <w:pPr>
              <w:autoSpaceDE w:val="0"/>
              <w:autoSpaceDN w:val="0"/>
              <w:rPr>
                <w:rFonts w:cstheme="minorHAnsi"/>
                <w:sz w:val="20"/>
                <w:szCs w:val="20"/>
                <w:lang w:eastAsia="nl-NL"/>
              </w:rPr>
            </w:pPr>
            <w:r w:rsidRPr="00EA3456">
              <w:rPr>
                <w:rFonts w:cstheme="minorHAnsi"/>
                <w:sz w:val="20"/>
                <w:szCs w:val="20"/>
                <w:lang w:eastAsia="nl-NL"/>
              </w:rPr>
              <w:t>Integraal of steekproef</w:t>
            </w:r>
          </w:p>
        </w:tc>
        <w:tc>
          <w:tcPr>
            <w:tcW w:w="3707" w:type="pct"/>
            <w:hideMark/>
          </w:tcPr>
          <w:p w14:paraId="195DCA6A" w14:textId="77777777" w:rsidR="00EA3456" w:rsidRPr="00EA3456" w:rsidRDefault="00EA3456" w:rsidP="00EC21A5">
            <w:pPr>
              <w:autoSpaceDE w:val="0"/>
              <w:autoSpaceDN w:val="0"/>
              <w:rPr>
                <w:rFonts w:cstheme="minorHAnsi"/>
                <w:sz w:val="20"/>
                <w:szCs w:val="20"/>
                <w:lang w:eastAsia="nl-NL"/>
              </w:rPr>
            </w:pPr>
            <w:r w:rsidRPr="00EA3456">
              <w:rPr>
                <w:rFonts w:cstheme="minorHAnsi"/>
                <w:sz w:val="20"/>
                <w:szCs w:val="20"/>
                <w:lang w:eastAsia="nl-NL"/>
              </w:rPr>
              <w:t>Integraal.</w:t>
            </w:r>
          </w:p>
        </w:tc>
      </w:tr>
      <w:tr w:rsidR="00EA3456" w:rsidRPr="00EA3456" w14:paraId="42A0F12F" w14:textId="77777777" w:rsidTr="0095503D">
        <w:trPr>
          <w:trHeight w:val="300"/>
        </w:trPr>
        <w:tc>
          <w:tcPr>
            <w:tcW w:w="1293" w:type="pct"/>
            <w:hideMark/>
          </w:tcPr>
          <w:p w14:paraId="15C53EB1" w14:textId="77777777" w:rsidR="00EA3456" w:rsidRPr="00EA3456" w:rsidRDefault="00EA3456" w:rsidP="00EC21A5">
            <w:pPr>
              <w:autoSpaceDE w:val="0"/>
              <w:autoSpaceDN w:val="0"/>
              <w:rPr>
                <w:rFonts w:cstheme="minorHAnsi"/>
                <w:sz w:val="20"/>
                <w:szCs w:val="20"/>
                <w:lang w:eastAsia="nl-NL"/>
              </w:rPr>
            </w:pPr>
            <w:r w:rsidRPr="00EA3456">
              <w:rPr>
                <w:rFonts w:cstheme="minorHAnsi"/>
                <w:sz w:val="20"/>
                <w:szCs w:val="20"/>
                <w:lang w:eastAsia="nl-NL"/>
              </w:rPr>
              <w:t>Periodiciteit</w:t>
            </w:r>
          </w:p>
        </w:tc>
        <w:tc>
          <w:tcPr>
            <w:tcW w:w="3707" w:type="pct"/>
            <w:hideMark/>
          </w:tcPr>
          <w:p w14:paraId="4B02B9DB" w14:textId="77777777" w:rsidR="00EA3456" w:rsidRPr="00EA3456" w:rsidRDefault="00EA3456" w:rsidP="00EC21A5">
            <w:pPr>
              <w:autoSpaceDE w:val="0"/>
              <w:autoSpaceDN w:val="0"/>
              <w:rPr>
                <w:rFonts w:cstheme="minorHAnsi"/>
                <w:sz w:val="20"/>
                <w:szCs w:val="20"/>
                <w:lang w:eastAsia="nl-NL"/>
              </w:rPr>
            </w:pPr>
            <w:r w:rsidRPr="00EA3456">
              <w:rPr>
                <w:rFonts w:cstheme="minorHAnsi"/>
                <w:sz w:val="20"/>
                <w:szCs w:val="20"/>
                <w:lang w:eastAsia="nl-NL"/>
              </w:rPr>
              <w:t>Jaarlijks sinds 2003.</w:t>
            </w:r>
          </w:p>
        </w:tc>
      </w:tr>
    </w:tbl>
    <w:p w14:paraId="4E43829E" w14:textId="150D99A2" w:rsidR="00070FE7" w:rsidRDefault="00070FE7" w:rsidP="00183F61">
      <w:pPr>
        <w:rPr>
          <w:rFonts w:cstheme="minorHAnsi"/>
          <w:szCs w:val="24"/>
          <w:lang w:eastAsia="nl-NL"/>
        </w:rPr>
      </w:pP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2312"/>
        <w:gridCol w:w="6748"/>
      </w:tblGrid>
      <w:tr w:rsidR="00070FE7" w:rsidRPr="003A32EE" w14:paraId="58F81370" w14:textId="77777777" w:rsidTr="0095503D">
        <w:trPr>
          <w:trHeight w:val="255"/>
        </w:trPr>
        <w:tc>
          <w:tcPr>
            <w:tcW w:w="2312" w:type="dxa"/>
            <w:hideMark/>
          </w:tcPr>
          <w:p w14:paraId="0EF6BCAC" w14:textId="77777777" w:rsidR="00070FE7" w:rsidRPr="003A32EE" w:rsidRDefault="00070FE7" w:rsidP="00AF5775">
            <w:pPr>
              <w:autoSpaceDE w:val="0"/>
              <w:autoSpaceDN w:val="0"/>
              <w:rPr>
                <w:rFonts w:cstheme="minorHAnsi"/>
                <w:b/>
                <w:bCs/>
                <w:sz w:val="20"/>
                <w:szCs w:val="20"/>
                <w:lang w:eastAsia="nl-NL"/>
              </w:rPr>
            </w:pPr>
            <w:r w:rsidRPr="003A32EE">
              <w:rPr>
                <w:rFonts w:cstheme="minorHAnsi"/>
                <w:b/>
                <w:bCs/>
                <w:sz w:val="20"/>
                <w:szCs w:val="20"/>
                <w:lang w:eastAsia="nl-NL"/>
              </w:rPr>
              <w:t>Bron</w:t>
            </w:r>
          </w:p>
        </w:tc>
        <w:tc>
          <w:tcPr>
            <w:tcW w:w="6748" w:type="dxa"/>
          </w:tcPr>
          <w:p w14:paraId="2AB0BAB9" w14:textId="3A054064" w:rsidR="00070FE7" w:rsidRPr="004C063B" w:rsidRDefault="00070FE7" w:rsidP="00AF5775">
            <w:pPr>
              <w:autoSpaceDE w:val="0"/>
              <w:autoSpaceDN w:val="0"/>
              <w:rPr>
                <w:rFonts w:cstheme="minorHAnsi"/>
                <w:b/>
                <w:bCs/>
                <w:sz w:val="20"/>
                <w:szCs w:val="20"/>
                <w:lang w:eastAsia="nl-NL"/>
              </w:rPr>
            </w:pPr>
            <w:r>
              <w:rPr>
                <w:rFonts w:cstheme="minorHAnsi"/>
                <w:b/>
                <w:sz w:val="20"/>
                <w:szCs w:val="20"/>
                <w:lang w:eastAsia="nl-NL"/>
              </w:rPr>
              <w:t>Polis</w:t>
            </w:r>
          </w:p>
        </w:tc>
      </w:tr>
      <w:tr w:rsidR="00070FE7" w:rsidRPr="008B4C75" w14:paraId="01CDB530" w14:textId="77777777" w:rsidTr="0095503D">
        <w:trPr>
          <w:trHeight w:val="1516"/>
        </w:trPr>
        <w:tc>
          <w:tcPr>
            <w:tcW w:w="2312" w:type="dxa"/>
            <w:hideMark/>
          </w:tcPr>
          <w:p w14:paraId="400E8D6C" w14:textId="77777777" w:rsidR="00070FE7" w:rsidRPr="008B4C75" w:rsidRDefault="00070FE7" w:rsidP="00AF5775">
            <w:pPr>
              <w:autoSpaceDE w:val="0"/>
              <w:autoSpaceDN w:val="0"/>
              <w:spacing w:line="276" w:lineRule="auto"/>
              <w:rPr>
                <w:rFonts w:cstheme="minorHAnsi"/>
                <w:sz w:val="20"/>
                <w:szCs w:val="20"/>
                <w:lang w:eastAsia="nl-NL"/>
              </w:rPr>
            </w:pPr>
            <w:r w:rsidRPr="008B4C75">
              <w:rPr>
                <w:rFonts w:cstheme="minorHAnsi"/>
                <w:sz w:val="20"/>
                <w:szCs w:val="20"/>
                <w:lang w:eastAsia="nl-NL"/>
              </w:rPr>
              <w:t>Algemene beschrijving</w:t>
            </w:r>
          </w:p>
        </w:tc>
        <w:tc>
          <w:tcPr>
            <w:tcW w:w="6748" w:type="dxa"/>
          </w:tcPr>
          <w:p w14:paraId="09544AFE" w14:textId="3F2A7339" w:rsidR="00070FE7" w:rsidRPr="008B4C75" w:rsidRDefault="00070FE7" w:rsidP="00070FE7">
            <w:pPr>
              <w:autoSpaceDE w:val="0"/>
              <w:autoSpaceDN w:val="0"/>
              <w:spacing w:line="276" w:lineRule="auto"/>
              <w:rPr>
                <w:rFonts w:cstheme="minorHAnsi"/>
                <w:sz w:val="20"/>
                <w:szCs w:val="20"/>
                <w:lang w:eastAsia="nl-NL"/>
              </w:rPr>
            </w:pPr>
            <w:r w:rsidRPr="00070FE7">
              <w:rPr>
                <w:rFonts w:cstheme="minorHAnsi"/>
                <w:sz w:val="20"/>
                <w:szCs w:val="20"/>
                <w:lang w:eastAsia="nl-NL"/>
              </w:rPr>
              <w:t>De Polisadministratie bevat gegevens over banen en is gebaseerd op data uit de loonaangiften van de Belastingdienst. De loonaangiften bevatten gegevens over inkomstenverhoudingen (uit de loonadministratie) van werkgevers en andere inhoudingsplichtigen. Het doel van de Polisadministratie is inzicht te krijgen in arbeidscontracten en loon van werknemers.</w:t>
            </w:r>
          </w:p>
        </w:tc>
      </w:tr>
      <w:tr w:rsidR="00070FE7" w:rsidRPr="003A32EE" w14:paraId="4D58191F" w14:textId="77777777" w:rsidTr="0095503D">
        <w:trPr>
          <w:trHeight w:val="255"/>
        </w:trPr>
        <w:tc>
          <w:tcPr>
            <w:tcW w:w="2312" w:type="dxa"/>
            <w:hideMark/>
          </w:tcPr>
          <w:p w14:paraId="4BACADC8" w14:textId="77777777" w:rsidR="00070FE7" w:rsidRPr="003A32EE" w:rsidRDefault="00070FE7" w:rsidP="00AF5775">
            <w:pPr>
              <w:autoSpaceDE w:val="0"/>
              <w:autoSpaceDN w:val="0"/>
              <w:spacing w:line="276" w:lineRule="auto"/>
              <w:rPr>
                <w:rFonts w:cstheme="minorHAnsi"/>
                <w:sz w:val="20"/>
                <w:szCs w:val="20"/>
                <w:lang w:eastAsia="nl-NL"/>
              </w:rPr>
            </w:pPr>
            <w:r w:rsidRPr="003A32EE">
              <w:rPr>
                <w:rFonts w:cstheme="minorHAnsi"/>
                <w:sz w:val="20"/>
                <w:szCs w:val="20"/>
                <w:lang w:eastAsia="nl-NL"/>
              </w:rPr>
              <w:t>Leverancier</w:t>
            </w:r>
          </w:p>
        </w:tc>
        <w:tc>
          <w:tcPr>
            <w:tcW w:w="6748" w:type="dxa"/>
          </w:tcPr>
          <w:p w14:paraId="3A93A61A" w14:textId="1B0764EF" w:rsidR="00070FE7" w:rsidRPr="003A32EE" w:rsidRDefault="00070FE7" w:rsidP="00070FE7">
            <w:pPr>
              <w:autoSpaceDE w:val="0"/>
              <w:autoSpaceDN w:val="0"/>
              <w:spacing w:line="276" w:lineRule="auto"/>
              <w:rPr>
                <w:rFonts w:cstheme="minorHAnsi"/>
                <w:sz w:val="20"/>
                <w:szCs w:val="20"/>
                <w:lang w:eastAsia="nl-NL"/>
              </w:rPr>
            </w:pPr>
            <w:r w:rsidRPr="00070FE7">
              <w:rPr>
                <w:rFonts w:cstheme="minorHAnsi"/>
                <w:sz w:val="20"/>
                <w:szCs w:val="20"/>
                <w:lang w:eastAsia="nl-NL"/>
              </w:rPr>
              <w:t>De Belastingdienst ontvangt de loonaangifte en UWV maakt daar de Polisadministratie van.</w:t>
            </w:r>
          </w:p>
        </w:tc>
      </w:tr>
      <w:tr w:rsidR="00070FE7" w:rsidRPr="003A32EE" w14:paraId="0B8B0611" w14:textId="77777777" w:rsidTr="0095503D">
        <w:trPr>
          <w:trHeight w:val="80"/>
        </w:trPr>
        <w:tc>
          <w:tcPr>
            <w:tcW w:w="2312" w:type="dxa"/>
            <w:hideMark/>
          </w:tcPr>
          <w:p w14:paraId="47C8A6C2" w14:textId="77777777" w:rsidR="00070FE7" w:rsidRPr="003A32EE" w:rsidRDefault="00070FE7" w:rsidP="00AF5775">
            <w:pPr>
              <w:autoSpaceDE w:val="0"/>
              <w:autoSpaceDN w:val="0"/>
              <w:spacing w:line="276" w:lineRule="auto"/>
              <w:rPr>
                <w:rFonts w:cstheme="minorHAnsi"/>
                <w:sz w:val="20"/>
                <w:szCs w:val="20"/>
                <w:lang w:eastAsia="nl-NL"/>
              </w:rPr>
            </w:pPr>
            <w:r w:rsidRPr="003A32EE">
              <w:rPr>
                <w:rFonts w:cstheme="minorHAnsi"/>
                <w:sz w:val="20"/>
                <w:szCs w:val="20"/>
                <w:lang w:eastAsia="nl-NL"/>
              </w:rPr>
              <w:t>Integraal of steekproef</w:t>
            </w:r>
          </w:p>
        </w:tc>
        <w:tc>
          <w:tcPr>
            <w:tcW w:w="6748" w:type="dxa"/>
            <w:hideMark/>
          </w:tcPr>
          <w:p w14:paraId="77B23AE9" w14:textId="77777777" w:rsidR="00070FE7" w:rsidRPr="003A32EE" w:rsidRDefault="00070FE7" w:rsidP="00AF5775">
            <w:pPr>
              <w:autoSpaceDE w:val="0"/>
              <w:autoSpaceDN w:val="0"/>
              <w:spacing w:line="276" w:lineRule="auto"/>
              <w:rPr>
                <w:rFonts w:cstheme="minorHAnsi"/>
                <w:sz w:val="20"/>
                <w:szCs w:val="20"/>
                <w:lang w:eastAsia="nl-NL"/>
              </w:rPr>
            </w:pPr>
            <w:r w:rsidRPr="003A32EE">
              <w:rPr>
                <w:rFonts w:cstheme="minorHAnsi"/>
                <w:sz w:val="20"/>
                <w:szCs w:val="20"/>
                <w:lang w:eastAsia="nl-NL"/>
              </w:rPr>
              <w:t>Integraal</w:t>
            </w:r>
            <w:r>
              <w:rPr>
                <w:rFonts w:cstheme="minorHAnsi"/>
                <w:sz w:val="20"/>
                <w:szCs w:val="20"/>
                <w:lang w:eastAsia="nl-NL"/>
              </w:rPr>
              <w:t xml:space="preserve"> </w:t>
            </w:r>
          </w:p>
        </w:tc>
      </w:tr>
      <w:tr w:rsidR="00070FE7" w:rsidRPr="003A32EE" w14:paraId="2A8010B6" w14:textId="77777777" w:rsidTr="0095503D">
        <w:trPr>
          <w:trHeight w:val="255"/>
        </w:trPr>
        <w:tc>
          <w:tcPr>
            <w:tcW w:w="2312" w:type="dxa"/>
            <w:hideMark/>
          </w:tcPr>
          <w:p w14:paraId="6F7472BE" w14:textId="77777777" w:rsidR="00070FE7" w:rsidRPr="003A32EE" w:rsidRDefault="00070FE7" w:rsidP="00AF5775">
            <w:pPr>
              <w:autoSpaceDE w:val="0"/>
              <w:autoSpaceDN w:val="0"/>
              <w:spacing w:line="276" w:lineRule="auto"/>
              <w:rPr>
                <w:rFonts w:cstheme="minorHAnsi"/>
                <w:sz w:val="20"/>
                <w:szCs w:val="20"/>
                <w:lang w:eastAsia="nl-NL"/>
              </w:rPr>
            </w:pPr>
            <w:r w:rsidRPr="003A32EE">
              <w:rPr>
                <w:rFonts w:cstheme="minorHAnsi"/>
                <w:sz w:val="20"/>
                <w:szCs w:val="20"/>
                <w:lang w:eastAsia="nl-NL"/>
              </w:rPr>
              <w:t>Periodiciteit</w:t>
            </w:r>
          </w:p>
        </w:tc>
        <w:tc>
          <w:tcPr>
            <w:tcW w:w="6748" w:type="dxa"/>
            <w:hideMark/>
          </w:tcPr>
          <w:p w14:paraId="6162E88B" w14:textId="27B7CD69" w:rsidR="00070FE7" w:rsidRPr="003A32EE" w:rsidRDefault="00530C88" w:rsidP="00530C88">
            <w:pPr>
              <w:autoSpaceDE w:val="0"/>
              <w:autoSpaceDN w:val="0"/>
              <w:spacing w:line="276" w:lineRule="auto"/>
              <w:rPr>
                <w:rFonts w:cstheme="minorHAnsi"/>
                <w:sz w:val="20"/>
                <w:szCs w:val="20"/>
                <w:lang w:eastAsia="nl-NL"/>
              </w:rPr>
            </w:pPr>
            <w:r>
              <w:rPr>
                <w:rFonts w:cstheme="minorHAnsi"/>
                <w:sz w:val="20"/>
                <w:szCs w:val="20"/>
                <w:lang w:eastAsia="nl-NL"/>
              </w:rPr>
              <w:t>D</w:t>
            </w:r>
            <w:r w:rsidRPr="00530C88">
              <w:rPr>
                <w:rFonts w:cstheme="minorHAnsi"/>
                <w:sz w:val="20"/>
                <w:szCs w:val="20"/>
                <w:lang w:eastAsia="nl-NL"/>
              </w:rPr>
              <w:t>e Polisadministratie komt halfjaarlijks beschikbaar.</w:t>
            </w:r>
          </w:p>
        </w:tc>
      </w:tr>
    </w:tbl>
    <w:p w14:paraId="741EB2E1" w14:textId="26C77E42" w:rsidR="00183F61" w:rsidRPr="003A32EE" w:rsidRDefault="00183F61" w:rsidP="00183F61">
      <w:pPr>
        <w:rPr>
          <w:rFonts w:cstheme="minorHAnsi"/>
          <w:szCs w:val="24"/>
          <w:lang w:eastAsia="nl-NL"/>
        </w:rPr>
      </w:pPr>
    </w:p>
    <w:sectPr w:rsidR="00183F61" w:rsidRPr="003A32EE" w:rsidSect="00B32A3D">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60F89" w14:textId="77777777" w:rsidR="00CD5374" w:rsidRDefault="00CD5374">
      <w:pPr>
        <w:spacing w:after="0" w:line="240" w:lineRule="auto"/>
      </w:pPr>
      <w:r>
        <w:separator/>
      </w:r>
    </w:p>
  </w:endnote>
  <w:endnote w:type="continuationSeparator" w:id="0">
    <w:p w14:paraId="7649CD9F" w14:textId="77777777" w:rsidR="00CD5374" w:rsidRDefault="00CD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12562"/>
      <w:docPartObj>
        <w:docPartGallery w:val="Page Numbers (Bottom of Page)"/>
        <w:docPartUnique/>
      </w:docPartObj>
    </w:sdtPr>
    <w:sdtEndPr/>
    <w:sdtContent>
      <w:p w14:paraId="44EE12D9" w14:textId="7E435046" w:rsidR="00814D1C" w:rsidRDefault="00814D1C">
        <w:pPr>
          <w:pStyle w:val="Voettekst"/>
          <w:jc w:val="right"/>
        </w:pPr>
        <w:r>
          <w:fldChar w:fldCharType="begin"/>
        </w:r>
        <w:r>
          <w:instrText>PAGE   \* MERGEFORMAT</w:instrText>
        </w:r>
        <w:r>
          <w:fldChar w:fldCharType="separate"/>
        </w:r>
        <w:r w:rsidR="00475E7D">
          <w:rPr>
            <w:noProof/>
          </w:rPr>
          <w:t>6</w:t>
        </w:r>
        <w:r>
          <w:fldChar w:fldCharType="end"/>
        </w:r>
      </w:p>
    </w:sdtContent>
  </w:sdt>
  <w:p w14:paraId="7C55EF43" w14:textId="77777777" w:rsidR="00FD2CE4" w:rsidRPr="00891282" w:rsidRDefault="00FD2CE4" w:rsidP="00B32A3D">
    <w:pPr>
      <w:pStyle w:val="Voettekst"/>
      <w:rPr>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163D3" w14:textId="77777777" w:rsidR="00CD5374" w:rsidRDefault="00CD5374">
      <w:pPr>
        <w:spacing w:after="0" w:line="240" w:lineRule="auto"/>
      </w:pPr>
      <w:r>
        <w:separator/>
      </w:r>
    </w:p>
  </w:footnote>
  <w:footnote w:type="continuationSeparator" w:id="0">
    <w:p w14:paraId="6F644E00" w14:textId="77777777" w:rsidR="00CD5374" w:rsidRDefault="00CD5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71AB0"/>
    <w:multiLevelType w:val="hybridMultilevel"/>
    <w:tmpl w:val="A73078DA"/>
    <w:lvl w:ilvl="0" w:tplc="CA327D0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2BA46425"/>
    <w:multiLevelType w:val="hybridMultilevel"/>
    <w:tmpl w:val="7B40E746"/>
    <w:lvl w:ilvl="0" w:tplc="04130015">
      <w:start w:val="1"/>
      <w:numFmt w:val="upperLetter"/>
      <w:lvlText w:val="%1."/>
      <w:lvlJc w:val="left"/>
      <w:pPr>
        <w:ind w:left="720" w:hanging="360"/>
      </w:pPr>
    </w:lvl>
    <w:lvl w:ilvl="1" w:tplc="F5F2E694">
      <w:start w:val="3"/>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356CC3"/>
    <w:multiLevelType w:val="hybridMultilevel"/>
    <w:tmpl w:val="A62438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2735CC"/>
    <w:multiLevelType w:val="hybridMultilevel"/>
    <w:tmpl w:val="CF64CDA4"/>
    <w:lvl w:ilvl="0" w:tplc="FB0202F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707D56"/>
    <w:multiLevelType w:val="hybridMultilevel"/>
    <w:tmpl w:val="1D3AB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116644"/>
    <w:multiLevelType w:val="hybridMultilevel"/>
    <w:tmpl w:val="1C66BB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00C10EA"/>
    <w:multiLevelType w:val="hybridMultilevel"/>
    <w:tmpl w:val="1D8CF3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D730AF"/>
    <w:multiLevelType w:val="multilevel"/>
    <w:tmpl w:val="E9643E80"/>
    <w:name w:val="Foliero standaard"/>
    <w:styleLink w:val="StijlMetopsommingstekensSymbolsymboolLinks063cmVerk"/>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8" w15:restartNumberingAfterBreak="0">
    <w:nsid w:val="67DC2F2C"/>
    <w:multiLevelType w:val="hybridMultilevel"/>
    <w:tmpl w:val="E62A7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07A580C"/>
    <w:multiLevelType w:val="hybridMultilevel"/>
    <w:tmpl w:val="09BCB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362378"/>
    <w:multiLevelType w:val="hybridMultilevel"/>
    <w:tmpl w:val="CFCA2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2"/>
  </w:num>
  <w:num w:numId="6">
    <w:abstractNumId w:val="10"/>
  </w:num>
  <w:num w:numId="7">
    <w:abstractNumId w:val="8"/>
  </w:num>
  <w:num w:numId="8">
    <w:abstractNumId w:val="9"/>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F61"/>
    <w:rsid w:val="000145BC"/>
    <w:rsid w:val="00024093"/>
    <w:rsid w:val="0007023C"/>
    <w:rsid w:val="00070FE7"/>
    <w:rsid w:val="00074C07"/>
    <w:rsid w:val="00076670"/>
    <w:rsid w:val="000C2EC0"/>
    <w:rsid w:val="000E0B53"/>
    <w:rsid w:val="000E6257"/>
    <w:rsid w:val="000F7A1A"/>
    <w:rsid w:val="00101420"/>
    <w:rsid w:val="00131EF4"/>
    <w:rsid w:val="00132294"/>
    <w:rsid w:val="00132702"/>
    <w:rsid w:val="00137618"/>
    <w:rsid w:val="00162831"/>
    <w:rsid w:val="0017117A"/>
    <w:rsid w:val="00183F61"/>
    <w:rsid w:val="001C61B6"/>
    <w:rsid w:val="001D6237"/>
    <w:rsid w:val="001F09C8"/>
    <w:rsid w:val="00235915"/>
    <w:rsid w:val="0024564C"/>
    <w:rsid w:val="002726BC"/>
    <w:rsid w:val="00273AAC"/>
    <w:rsid w:val="0028260D"/>
    <w:rsid w:val="002921E7"/>
    <w:rsid w:val="002935A8"/>
    <w:rsid w:val="00294FE3"/>
    <w:rsid w:val="00297EF1"/>
    <w:rsid w:val="002A02DB"/>
    <w:rsid w:val="002A3BBC"/>
    <w:rsid w:val="002A60A3"/>
    <w:rsid w:val="002B53E0"/>
    <w:rsid w:val="002B6F0D"/>
    <w:rsid w:val="002C2CF7"/>
    <w:rsid w:val="002C544E"/>
    <w:rsid w:val="002D061C"/>
    <w:rsid w:val="002E52C4"/>
    <w:rsid w:val="002F567C"/>
    <w:rsid w:val="00312F6A"/>
    <w:rsid w:val="00314D66"/>
    <w:rsid w:val="00327A5B"/>
    <w:rsid w:val="0033260C"/>
    <w:rsid w:val="00387A13"/>
    <w:rsid w:val="00390E1B"/>
    <w:rsid w:val="003B5B8B"/>
    <w:rsid w:val="003C0BBF"/>
    <w:rsid w:val="0041153A"/>
    <w:rsid w:val="00416701"/>
    <w:rsid w:val="0044424E"/>
    <w:rsid w:val="004609C6"/>
    <w:rsid w:val="0047384D"/>
    <w:rsid w:val="00475E7D"/>
    <w:rsid w:val="00486C92"/>
    <w:rsid w:val="00491E5A"/>
    <w:rsid w:val="004B19D6"/>
    <w:rsid w:val="004B53C7"/>
    <w:rsid w:val="004B68FA"/>
    <w:rsid w:val="004C063B"/>
    <w:rsid w:val="004D2926"/>
    <w:rsid w:val="004D5E10"/>
    <w:rsid w:val="004F2763"/>
    <w:rsid w:val="00515C72"/>
    <w:rsid w:val="00530C88"/>
    <w:rsid w:val="00533092"/>
    <w:rsid w:val="00543584"/>
    <w:rsid w:val="005614C1"/>
    <w:rsid w:val="005A798F"/>
    <w:rsid w:val="005B6885"/>
    <w:rsid w:val="005E3D95"/>
    <w:rsid w:val="00600DBA"/>
    <w:rsid w:val="006140D4"/>
    <w:rsid w:val="00614E36"/>
    <w:rsid w:val="00627FE9"/>
    <w:rsid w:val="00630671"/>
    <w:rsid w:val="00631030"/>
    <w:rsid w:val="00656B7F"/>
    <w:rsid w:val="0069096A"/>
    <w:rsid w:val="006B5B4A"/>
    <w:rsid w:val="006C58E5"/>
    <w:rsid w:val="006D7549"/>
    <w:rsid w:val="006D7F5F"/>
    <w:rsid w:val="006E1839"/>
    <w:rsid w:val="006E5F91"/>
    <w:rsid w:val="007064EA"/>
    <w:rsid w:val="007106A4"/>
    <w:rsid w:val="00720AF4"/>
    <w:rsid w:val="00721689"/>
    <w:rsid w:val="007227EA"/>
    <w:rsid w:val="00741E2A"/>
    <w:rsid w:val="007431D2"/>
    <w:rsid w:val="00747946"/>
    <w:rsid w:val="00747D19"/>
    <w:rsid w:val="00754AE8"/>
    <w:rsid w:val="00760107"/>
    <w:rsid w:val="00793180"/>
    <w:rsid w:val="00795715"/>
    <w:rsid w:val="007C41C1"/>
    <w:rsid w:val="007F04DB"/>
    <w:rsid w:val="00814D1C"/>
    <w:rsid w:val="00823A4A"/>
    <w:rsid w:val="00851030"/>
    <w:rsid w:val="00877A9A"/>
    <w:rsid w:val="00884ABF"/>
    <w:rsid w:val="00891C86"/>
    <w:rsid w:val="008A0CE5"/>
    <w:rsid w:val="008A2D70"/>
    <w:rsid w:val="008A7FDE"/>
    <w:rsid w:val="008B4C75"/>
    <w:rsid w:val="008B7301"/>
    <w:rsid w:val="008C6241"/>
    <w:rsid w:val="008D1900"/>
    <w:rsid w:val="008D2102"/>
    <w:rsid w:val="008E18B2"/>
    <w:rsid w:val="008E6084"/>
    <w:rsid w:val="008E7182"/>
    <w:rsid w:val="00907AAB"/>
    <w:rsid w:val="00927496"/>
    <w:rsid w:val="00937F0D"/>
    <w:rsid w:val="00950F48"/>
    <w:rsid w:val="00952A24"/>
    <w:rsid w:val="00954ACA"/>
    <w:rsid w:val="0095503D"/>
    <w:rsid w:val="00960143"/>
    <w:rsid w:val="009636D6"/>
    <w:rsid w:val="00981316"/>
    <w:rsid w:val="009B77BB"/>
    <w:rsid w:val="009C0AB8"/>
    <w:rsid w:val="009C1B1F"/>
    <w:rsid w:val="009C7D11"/>
    <w:rsid w:val="009D3B0F"/>
    <w:rsid w:val="009E0B64"/>
    <w:rsid w:val="00A01802"/>
    <w:rsid w:val="00A0580A"/>
    <w:rsid w:val="00A233AF"/>
    <w:rsid w:val="00A33432"/>
    <w:rsid w:val="00A4007C"/>
    <w:rsid w:val="00A401FB"/>
    <w:rsid w:val="00A43014"/>
    <w:rsid w:val="00A44517"/>
    <w:rsid w:val="00A864B3"/>
    <w:rsid w:val="00AC20FE"/>
    <w:rsid w:val="00AC507C"/>
    <w:rsid w:val="00AD1C88"/>
    <w:rsid w:val="00AD2FAD"/>
    <w:rsid w:val="00B00D43"/>
    <w:rsid w:val="00B205CA"/>
    <w:rsid w:val="00B32A3D"/>
    <w:rsid w:val="00B62050"/>
    <w:rsid w:val="00B62F6D"/>
    <w:rsid w:val="00B74EEB"/>
    <w:rsid w:val="00B76217"/>
    <w:rsid w:val="00B90EA8"/>
    <w:rsid w:val="00BA22B5"/>
    <w:rsid w:val="00BD0901"/>
    <w:rsid w:val="00BE766E"/>
    <w:rsid w:val="00BF7FD8"/>
    <w:rsid w:val="00C04700"/>
    <w:rsid w:val="00C06317"/>
    <w:rsid w:val="00C22B83"/>
    <w:rsid w:val="00C23FEA"/>
    <w:rsid w:val="00C24FE6"/>
    <w:rsid w:val="00C36F71"/>
    <w:rsid w:val="00C421A0"/>
    <w:rsid w:val="00C44594"/>
    <w:rsid w:val="00C70402"/>
    <w:rsid w:val="00C725E2"/>
    <w:rsid w:val="00C8457A"/>
    <w:rsid w:val="00C96EAC"/>
    <w:rsid w:val="00CC1FD9"/>
    <w:rsid w:val="00CC510A"/>
    <w:rsid w:val="00CD04F1"/>
    <w:rsid w:val="00CD06DF"/>
    <w:rsid w:val="00CD16F0"/>
    <w:rsid w:val="00CD5374"/>
    <w:rsid w:val="00D37BEB"/>
    <w:rsid w:val="00D44051"/>
    <w:rsid w:val="00D6766D"/>
    <w:rsid w:val="00D712CE"/>
    <w:rsid w:val="00D75D98"/>
    <w:rsid w:val="00D82BDF"/>
    <w:rsid w:val="00D95687"/>
    <w:rsid w:val="00DC72C5"/>
    <w:rsid w:val="00DD3D1A"/>
    <w:rsid w:val="00DF4D04"/>
    <w:rsid w:val="00E1284A"/>
    <w:rsid w:val="00E25321"/>
    <w:rsid w:val="00E3010C"/>
    <w:rsid w:val="00E627BE"/>
    <w:rsid w:val="00E66A55"/>
    <w:rsid w:val="00E722C1"/>
    <w:rsid w:val="00EA1565"/>
    <w:rsid w:val="00EA2840"/>
    <w:rsid w:val="00EA3456"/>
    <w:rsid w:val="00EC137D"/>
    <w:rsid w:val="00EC21A5"/>
    <w:rsid w:val="00EE5DF8"/>
    <w:rsid w:val="00F0161B"/>
    <w:rsid w:val="00F11BF4"/>
    <w:rsid w:val="00F17C8A"/>
    <w:rsid w:val="00F21010"/>
    <w:rsid w:val="00F30571"/>
    <w:rsid w:val="00F41588"/>
    <w:rsid w:val="00F5383C"/>
    <w:rsid w:val="00F647BD"/>
    <w:rsid w:val="00F7297D"/>
    <w:rsid w:val="00F7306C"/>
    <w:rsid w:val="00F75216"/>
    <w:rsid w:val="00F82390"/>
    <w:rsid w:val="00F841D2"/>
    <w:rsid w:val="00F93ADF"/>
    <w:rsid w:val="00F95C98"/>
    <w:rsid w:val="00FA664F"/>
    <w:rsid w:val="00FD2C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B744"/>
  <w15:docId w15:val="{A7FE470D-ACBD-4AAD-BF8B-29E71585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83F6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83F61"/>
    <w:pPr>
      <w:spacing w:after="0" w:line="240" w:lineRule="auto"/>
    </w:pPr>
  </w:style>
  <w:style w:type="paragraph" w:styleId="Voettekst">
    <w:name w:val="footer"/>
    <w:basedOn w:val="Standaard"/>
    <w:link w:val="VoettekstChar"/>
    <w:uiPriority w:val="99"/>
    <w:unhideWhenUsed/>
    <w:rsid w:val="00183F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3F61"/>
  </w:style>
  <w:style w:type="character" w:styleId="Hyperlink">
    <w:name w:val="Hyperlink"/>
    <w:basedOn w:val="Standaardalinea-lettertype"/>
    <w:uiPriority w:val="99"/>
    <w:unhideWhenUsed/>
    <w:rsid w:val="00183F61"/>
    <w:rPr>
      <w:color w:val="0000FF" w:themeColor="hyperlink"/>
      <w:u w:val="single"/>
    </w:rPr>
  </w:style>
  <w:style w:type="paragraph" w:styleId="Lijstalinea">
    <w:name w:val="List Paragraph"/>
    <w:basedOn w:val="Standaard"/>
    <w:uiPriority w:val="34"/>
    <w:qFormat/>
    <w:rsid w:val="00183F61"/>
    <w:pPr>
      <w:ind w:left="720"/>
      <w:contextualSpacing/>
    </w:pPr>
  </w:style>
  <w:style w:type="table" w:styleId="Tabelraster">
    <w:name w:val="Table Grid"/>
    <w:basedOn w:val="Standaardtabel"/>
    <w:uiPriority w:val="59"/>
    <w:rsid w:val="00183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15C72"/>
    <w:rPr>
      <w:color w:val="800080" w:themeColor="followedHyperlink"/>
      <w:u w:val="single"/>
    </w:rPr>
  </w:style>
  <w:style w:type="character" w:styleId="Verwijzingopmerking">
    <w:name w:val="annotation reference"/>
    <w:basedOn w:val="Standaardalinea-lettertype"/>
    <w:uiPriority w:val="99"/>
    <w:semiHidden/>
    <w:unhideWhenUsed/>
    <w:rsid w:val="00AD2FAD"/>
    <w:rPr>
      <w:sz w:val="16"/>
      <w:szCs w:val="16"/>
    </w:rPr>
  </w:style>
  <w:style w:type="paragraph" w:styleId="Tekstopmerking">
    <w:name w:val="annotation text"/>
    <w:basedOn w:val="Standaard"/>
    <w:link w:val="TekstopmerkingChar"/>
    <w:uiPriority w:val="99"/>
    <w:semiHidden/>
    <w:unhideWhenUsed/>
    <w:rsid w:val="00AD2FA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D2FAD"/>
    <w:rPr>
      <w:sz w:val="20"/>
      <w:szCs w:val="20"/>
    </w:rPr>
  </w:style>
  <w:style w:type="paragraph" w:styleId="Onderwerpvanopmerking">
    <w:name w:val="annotation subject"/>
    <w:basedOn w:val="Tekstopmerking"/>
    <w:next w:val="Tekstopmerking"/>
    <w:link w:val="OnderwerpvanopmerkingChar"/>
    <w:uiPriority w:val="99"/>
    <w:semiHidden/>
    <w:unhideWhenUsed/>
    <w:rsid w:val="00AD2FAD"/>
    <w:rPr>
      <w:b/>
      <w:bCs/>
    </w:rPr>
  </w:style>
  <w:style w:type="character" w:customStyle="1" w:styleId="OnderwerpvanopmerkingChar">
    <w:name w:val="Onderwerp van opmerking Char"/>
    <w:basedOn w:val="TekstopmerkingChar"/>
    <w:link w:val="Onderwerpvanopmerking"/>
    <w:uiPriority w:val="99"/>
    <w:semiHidden/>
    <w:rsid w:val="00AD2FAD"/>
    <w:rPr>
      <w:b/>
      <w:bCs/>
      <w:sz w:val="20"/>
      <w:szCs w:val="20"/>
    </w:rPr>
  </w:style>
  <w:style w:type="paragraph" w:styleId="Ballontekst">
    <w:name w:val="Balloon Text"/>
    <w:basedOn w:val="Standaard"/>
    <w:link w:val="BallontekstChar"/>
    <w:uiPriority w:val="99"/>
    <w:semiHidden/>
    <w:unhideWhenUsed/>
    <w:rsid w:val="00AD2FA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D2FAD"/>
    <w:rPr>
      <w:rFonts w:ascii="Tahoma" w:hAnsi="Tahoma" w:cs="Tahoma"/>
      <w:sz w:val="16"/>
      <w:szCs w:val="16"/>
    </w:rPr>
  </w:style>
  <w:style w:type="paragraph" w:styleId="Koptekst">
    <w:name w:val="header"/>
    <w:basedOn w:val="Standaard"/>
    <w:link w:val="KoptekstChar"/>
    <w:uiPriority w:val="99"/>
    <w:unhideWhenUsed/>
    <w:rsid w:val="00814D1C"/>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14D1C"/>
  </w:style>
  <w:style w:type="paragraph" w:styleId="Bijschrift">
    <w:name w:val="caption"/>
    <w:basedOn w:val="Standaard"/>
    <w:next w:val="Standaard"/>
    <w:uiPriority w:val="35"/>
    <w:unhideWhenUsed/>
    <w:qFormat/>
    <w:rsid w:val="007227EA"/>
    <w:pPr>
      <w:spacing w:line="240" w:lineRule="auto"/>
    </w:pPr>
    <w:rPr>
      <w:i/>
      <w:iCs/>
      <w:color w:val="1F497D" w:themeColor="text2"/>
      <w:sz w:val="18"/>
      <w:szCs w:val="18"/>
    </w:rPr>
  </w:style>
  <w:style w:type="numbering" w:customStyle="1" w:styleId="StijlMetopsommingstekensSymbolsymboolLinks063cmVerk">
    <w:name w:val="Stijl Met opsommingstekens Symbol (symbool) Links:  063 cm Verk..."/>
    <w:basedOn w:val="Geenlijst"/>
    <w:rsid w:val="001F09C8"/>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4157">
      <w:bodyDiv w:val="1"/>
      <w:marLeft w:val="0"/>
      <w:marRight w:val="0"/>
      <w:marTop w:val="0"/>
      <w:marBottom w:val="0"/>
      <w:divBdr>
        <w:top w:val="none" w:sz="0" w:space="0" w:color="auto"/>
        <w:left w:val="none" w:sz="0" w:space="0" w:color="auto"/>
        <w:bottom w:val="none" w:sz="0" w:space="0" w:color="auto"/>
        <w:right w:val="none" w:sz="0" w:space="0" w:color="auto"/>
      </w:divBdr>
    </w:div>
    <w:div w:id="110514085">
      <w:bodyDiv w:val="1"/>
      <w:marLeft w:val="0"/>
      <w:marRight w:val="0"/>
      <w:marTop w:val="0"/>
      <w:marBottom w:val="0"/>
      <w:divBdr>
        <w:top w:val="none" w:sz="0" w:space="0" w:color="auto"/>
        <w:left w:val="none" w:sz="0" w:space="0" w:color="auto"/>
        <w:bottom w:val="none" w:sz="0" w:space="0" w:color="auto"/>
        <w:right w:val="none" w:sz="0" w:space="0" w:color="auto"/>
      </w:divBdr>
    </w:div>
    <w:div w:id="139347513">
      <w:bodyDiv w:val="1"/>
      <w:marLeft w:val="0"/>
      <w:marRight w:val="0"/>
      <w:marTop w:val="0"/>
      <w:marBottom w:val="0"/>
      <w:divBdr>
        <w:top w:val="none" w:sz="0" w:space="0" w:color="auto"/>
        <w:left w:val="none" w:sz="0" w:space="0" w:color="auto"/>
        <w:bottom w:val="none" w:sz="0" w:space="0" w:color="auto"/>
        <w:right w:val="none" w:sz="0" w:space="0" w:color="auto"/>
      </w:divBdr>
    </w:div>
    <w:div w:id="230116752">
      <w:bodyDiv w:val="1"/>
      <w:marLeft w:val="0"/>
      <w:marRight w:val="0"/>
      <w:marTop w:val="0"/>
      <w:marBottom w:val="0"/>
      <w:divBdr>
        <w:top w:val="none" w:sz="0" w:space="0" w:color="auto"/>
        <w:left w:val="none" w:sz="0" w:space="0" w:color="auto"/>
        <w:bottom w:val="none" w:sz="0" w:space="0" w:color="auto"/>
        <w:right w:val="none" w:sz="0" w:space="0" w:color="auto"/>
      </w:divBdr>
    </w:div>
    <w:div w:id="339282731">
      <w:bodyDiv w:val="1"/>
      <w:marLeft w:val="0"/>
      <w:marRight w:val="0"/>
      <w:marTop w:val="0"/>
      <w:marBottom w:val="0"/>
      <w:divBdr>
        <w:top w:val="none" w:sz="0" w:space="0" w:color="auto"/>
        <w:left w:val="none" w:sz="0" w:space="0" w:color="auto"/>
        <w:bottom w:val="none" w:sz="0" w:space="0" w:color="auto"/>
        <w:right w:val="none" w:sz="0" w:space="0" w:color="auto"/>
      </w:divBdr>
    </w:div>
    <w:div w:id="346832087">
      <w:bodyDiv w:val="1"/>
      <w:marLeft w:val="0"/>
      <w:marRight w:val="0"/>
      <w:marTop w:val="0"/>
      <w:marBottom w:val="0"/>
      <w:divBdr>
        <w:top w:val="none" w:sz="0" w:space="0" w:color="auto"/>
        <w:left w:val="none" w:sz="0" w:space="0" w:color="auto"/>
        <w:bottom w:val="none" w:sz="0" w:space="0" w:color="auto"/>
        <w:right w:val="none" w:sz="0" w:space="0" w:color="auto"/>
      </w:divBdr>
    </w:div>
    <w:div w:id="503982868">
      <w:bodyDiv w:val="1"/>
      <w:marLeft w:val="0"/>
      <w:marRight w:val="0"/>
      <w:marTop w:val="0"/>
      <w:marBottom w:val="0"/>
      <w:divBdr>
        <w:top w:val="none" w:sz="0" w:space="0" w:color="auto"/>
        <w:left w:val="none" w:sz="0" w:space="0" w:color="auto"/>
        <w:bottom w:val="none" w:sz="0" w:space="0" w:color="auto"/>
        <w:right w:val="none" w:sz="0" w:space="0" w:color="auto"/>
      </w:divBdr>
    </w:div>
    <w:div w:id="574701107">
      <w:bodyDiv w:val="1"/>
      <w:marLeft w:val="0"/>
      <w:marRight w:val="0"/>
      <w:marTop w:val="0"/>
      <w:marBottom w:val="0"/>
      <w:divBdr>
        <w:top w:val="none" w:sz="0" w:space="0" w:color="auto"/>
        <w:left w:val="none" w:sz="0" w:space="0" w:color="auto"/>
        <w:bottom w:val="none" w:sz="0" w:space="0" w:color="auto"/>
        <w:right w:val="none" w:sz="0" w:space="0" w:color="auto"/>
      </w:divBdr>
    </w:div>
    <w:div w:id="754398494">
      <w:bodyDiv w:val="1"/>
      <w:marLeft w:val="0"/>
      <w:marRight w:val="0"/>
      <w:marTop w:val="0"/>
      <w:marBottom w:val="0"/>
      <w:divBdr>
        <w:top w:val="none" w:sz="0" w:space="0" w:color="auto"/>
        <w:left w:val="none" w:sz="0" w:space="0" w:color="auto"/>
        <w:bottom w:val="none" w:sz="0" w:space="0" w:color="auto"/>
        <w:right w:val="none" w:sz="0" w:space="0" w:color="auto"/>
      </w:divBdr>
    </w:div>
    <w:div w:id="882905280">
      <w:bodyDiv w:val="1"/>
      <w:marLeft w:val="0"/>
      <w:marRight w:val="0"/>
      <w:marTop w:val="0"/>
      <w:marBottom w:val="0"/>
      <w:divBdr>
        <w:top w:val="none" w:sz="0" w:space="0" w:color="auto"/>
        <w:left w:val="none" w:sz="0" w:space="0" w:color="auto"/>
        <w:bottom w:val="none" w:sz="0" w:space="0" w:color="auto"/>
        <w:right w:val="none" w:sz="0" w:space="0" w:color="auto"/>
      </w:divBdr>
    </w:div>
    <w:div w:id="920259133">
      <w:bodyDiv w:val="1"/>
      <w:marLeft w:val="0"/>
      <w:marRight w:val="0"/>
      <w:marTop w:val="0"/>
      <w:marBottom w:val="0"/>
      <w:divBdr>
        <w:top w:val="none" w:sz="0" w:space="0" w:color="auto"/>
        <w:left w:val="none" w:sz="0" w:space="0" w:color="auto"/>
        <w:bottom w:val="none" w:sz="0" w:space="0" w:color="auto"/>
        <w:right w:val="none" w:sz="0" w:space="0" w:color="auto"/>
      </w:divBdr>
    </w:div>
    <w:div w:id="979652524">
      <w:bodyDiv w:val="1"/>
      <w:marLeft w:val="0"/>
      <w:marRight w:val="0"/>
      <w:marTop w:val="0"/>
      <w:marBottom w:val="0"/>
      <w:divBdr>
        <w:top w:val="none" w:sz="0" w:space="0" w:color="auto"/>
        <w:left w:val="none" w:sz="0" w:space="0" w:color="auto"/>
        <w:bottom w:val="none" w:sz="0" w:space="0" w:color="auto"/>
        <w:right w:val="none" w:sz="0" w:space="0" w:color="auto"/>
      </w:divBdr>
    </w:div>
    <w:div w:id="1027214532">
      <w:bodyDiv w:val="1"/>
      <w:marLeft w:val="0"/>
      <w:marRight w:val="0"/>
      <w:marTop w:val="0"/>
      <w:marBottom w:val="0"/>
      <w:divBdr>
        <w:top w:val="none" w:sz="0" w:space="0" w:color="auto"/>
        <w:left w:val="none" w:sz="0" w:space="0" w:color="auto"/>
        <w:bottom w:val="none" w:sz="0" w:space="0" w:color="auto"/>
        <w:right w:val="none" w:sz="0" w:space="0" w:color="auto"/>
      </w:divBdr>
    </w:div>
    <w:div w:id="1097678193">
      <w:bodyDiv w:val="1"/>
      <w:marLeft w:val="0"/>
      <w:marRight w:val="0"/>
      <w:marTop w:val="0"/>
      <w:marBottom w:val="0"/>
      <w:divBdr>
        <w:top w:val="none" w:sz="0" w:space="0" w:color="auto"/>
        <w:left w:val="none" w:sz="0" w:space="0" w:color="auto"/>
        <w:bottom w:val="none" w:sz="0" w:space="0" w:color="auto"/>
        <w:right w:val="none" w:sz="0" w:space="0" w:color="auto"/>
      </w:divBdr>
    </w:div>
    <w:div w:id="1103838269">
      <w:bodyDiv w:val="1"/>
      <w:marLeft w:val="0"/>
      <w:marRight w:val="0"/>
      <w:marTop w:val="0"/>
      <w:marBottom w:val="0"/>
      <w:divBdr>
        <w:top w:val="none" w:sz="0" w:space="0" w:color="auto"/>
        <w:left w:val="none" w:sz="0" w:space="0" w:color="auto"/>
        <w:bottom w:val="none" w:sz="0" w:space="0" w:color="auto"/>
        <w:right w:val="none" w:sz="0" w:space="0" w:color="auto"/>
      </w:divBdr>
    </w:div>
    <w:div w:id="1156413620">
      <w:bodyDiv w:val="1"/>
      <w:marLeft w:val="0"/>
      <w:marRight w:val="0"/>
      <w:marTop w:val="0"/>
      <w:marBottom w:val="0"/>
      <w:divBdr>
        <w:top w:val="none" w:sz="0" w:space="0" w:color="auto"/>
        <w:left w:val="none" w:sz="0" w:space="0" w:color="auto"/>
        <w:bottom w:val="none" w:sz="0" w:space="0" w:color="auto"/>
        <w:right w:val="none" w:sz="0" w:space="0" w:color="auto"/>
      </w:divBdr>
    </w:div>
    <w:div w:id="1161847679">
      <w:bodyDiv w:val="1"/>
      <w:marLeft w:val="0"/>
      <w:marRight w:val="0"/>
      <w:marTop w:val="0"/>
      <w:marBottom w:val="0"/>
      <w:divBdr>
        <w:top w:val="none" w:sz="0" w:space="0" w:color="auto"/>
        <w:left w:val="none" w:sz="0" w:space="0" w:color="auto"/>
        <w:bottom w:val="none" w:sz="0" w:space="0" w:color="auto"/>
        <w:right w:val="none" w:sz="0" w:space="0" w:color="auto"/>
      </w:divBdr>
    </w:div>
    <w:div w:id="1180850642">
      <w:bodyDiv w:val="1"/>
      <w:marLeft w:val="0"/>
      <w:marRight w:val="0"/>
      <w:marTop w:val="0"/>
      <w:marBottom w:val="0"/>
      <w:divBdr>
        <w:top w:val="none" w:sz="0" w:space="0" w:color="auto"/>
        <w:left w:val="none" w:sz="0" w:space="0" w:color="auto"/>
        <w:bottom w:val="none" w:sz="0" w:space="0" w:color="auto"/>
        <w:right w:val="none" w:sz="0" w:space="0" w:color="auto"/>
      </w:divBdr>
    </w:div>
    <w:div w:id="1214468752">
      <w:bodyDiv w:val="1"/>
      <w:marLeft w:val="0"/>
      <w:marRight w:val="0"/>
      <w:marTop w:val="0"/>
      <w:marBottom w:val="0"/>
      <w:divBdr>
        <w:top w:val="none" w:sz="0" w:space="0" w:color="auto"/>
        <w:left w:val="none" w:sz="0" w:space="0" w:color="auto"/>
        <w:bottom w:val="none" w:sz="0" w:space="0" w:color="auto"/>
        <w:right w:val="none" w:sz="0" w:space="0" w:color="auto"/>
      </w:divBdr>
    </w:div>
    <w:div w:id="1215771783">
      <w:bodyDiv w:val="1"/>
      <w:marLeft w:val="0"/>
      <w:marRight w:val="0"/>
      <w:marTop w:val="0"/>
      <w:marBottom w:val="0"/>
      <w:divBdr>
        <w:top w:val="none" w:sz="0" w:space="0" w:color="auto"/>
        <w:left w:val="none" w:sz="0" w:space="0" w:color="auto"/>
        <w:bottom w:val="none" w:sz="0" w:space="0" w:color="auto"/>
        <w:right w:val="none" w:sz="0" w:space="0" w:color="auto"/>
      </w:divBdr>
    </w:div>
    <w:div w:id="1253125137">
      <w:bodyDiv w:val="1"/>
      <w:marLeft w:val="0"/>
      <w:marRight w:val="0"/>
      <w:marTop w:val="0"/>
      <w:marBottom w:val="0"/>
      <w:divBdr>
        <w:top w:val="none" w:sz="0" w:space="0" w:color="auto"/>
        <w:left w:val="none" w:sz="0" w:space="0" w:color="auto"/>
        <w:bottom w:val="none" w:sz="0" w:space="0" w:color="auto"/>
        <w:right w:val="none" w:sz="0" w:space="0" w:color="auto"/>
      </w:divBdr>
    </w:div>
    <w:div w:id="1264068550">
      <w:bodyDiv w:val="1"/>
      <w:marLeft w:val="0"/>
      <w:marRight w:val="0"/>
      <w:marTop w:val="0"/>
      <w:marBottom w:val="0"/>
      <w:divBdr>
        <w:top w:val="none" w:sz="0" w:space="0" w:color="auto"/>
        <w:left w:val="none" w:sz="0" w:space="0" w:color="auto"/>
        <w:bottom w:val="none" w:sz="0" w:space="0" w:color="auto"/>
        <w:right w:val="none" w:sz="0" w:space="0" w:color="auto"/>
      </w:divBdr>
    </w:div>
    <w:div w:id="1380740162">
      <w:bodyDiv w:val="1"/>
      <w:marLeft w:val="0"/>
      <w:marRight w:val="0"/>
      <w:marTop w:val="0"/>
      <w:marBottom w:val="0"/>
      <w:divBdr>
        <w:top w:val="none" w:sz="0" w:space="0" w:color="auto"/>
        <w:left w:val="none" w:sz="0" w:space="0" w:color="auto"/>
        <w:bottom w:val="none" w:sz="0" w:space="0" w:color="auto"/>
        <w:right w:val="none" w:sz="0" w:space="0" w:color="auto"/>
      </w:divBdr>
    </w:div>
    <w:div w:id="1409962114">
      <w:bodyDiv w:val="1"/>
      <w:marLeft w:val="0"/>
      <w:marRight w:val="0"/>
      <w:marTop w:val="0"/>
      <w:marBottom w:val="0"/>
      <w:divBdr>
        <w:top w:val="none" w:sz="0" w:space="0" w:color="auto"/>
        <w:left w:val="none" w:sz="0" w:space="0" w:color="auto"/>
        <w:bottom w:val="none" w:sz="0" w:space="0" w:color="auto"/>
        <w:right w:val="none" w:sz="0" w:space="0" w:color="auto"/>
      </w:divBdr>
    </w:div>
    <w:div w:id="1439444208">
      <w:bodyDiv w:val="1"/>
      <w:marLeft w:val="0"/>
      <w:marRight w:val="0"/>
      <w:marTop w:val="0"/>
      <w:marBottom w:val="0"/>
      <w:divBdr>
        <w:top w:val="none" w:sz="0" w:space="0" w:color="auto"/>
        <w:left w:val="none" w:sz="0" w:space="0" w:color="auto"/>
        <w:bottom w:val="none" w:sz="0" w:space="0" w:color="auto"/>
        <w:right w:val="none" w:sz="0" w:space="0" w:color="auto"/>
      </w:divBdr>
    </w:div>
    <w:div w:id="1478959214">
      <w:bodyDiv w:val="1"/>
      <w:marLeft w:val="0"/>
      <w:marRight w:val="0"/>
      <w:marTop w:val="0"/>
      <w:marBottom w:val="0"/>
      <w:divBdr>
        <w:top w:val="none" w:sz="0" w:space="0" w:color="auto"/>
        <w:left w:val="none" w:sz="0" w:space="0" w:color="auto"/>
        <w:bottom w:val="none" w:sz="0" w:space="0" w:color="auto"/>
        <w:right w:val="none" w:sz="0" w:space="0" w:color="auto"/>
      </w:divBdr>
    </w:div>
    <w:div w:id="1628970160">
      <w:bodyDiv w:val="1"/>
      <w:marLeft w:val="0"/>
      <w:marRight w:val="0"/>
      <w:marTop w:val="0"/>
      <w:marBottom w:val="0"/>
      <w:divBdr>
        <w:top w:val="none" w:sz="0" w:space="0" w:color="auto"/>
        <w:left w:val="none" w:sz="0" w:space="0" w:color="auto"/>
        <w:bottom w:val="none" w:sz="0" w:space="0" w:color="auto"/>
        <w:right w:val="none" w:sz="0" w:space="0" w:color="auto"/>
      </w:divBdr>
    </w:div>
    <w:div w:id="1635255054">
      <w:bodyDiv w:val="1"/>
      <w:marLeft w:val="0"/>
      <w:marRight w:val="0"/>
      <w:marTop w:val="0"/>
      <w:marBottom w:val="0"/>
      <w:divBdr>
        <w:top w:val="none" w:sz="0" w:space="0" w:color="auto"/>
        <w:left w:val="none" w:sz="0" w:space="0" w:color="auto"/>
        <w:bottom w:val="none" w:sz="0" w:space="0" w:color="auto"/>
        <w:right w:val="none" w:sz="0" w:space="0" w:color="auto"/>
      </w:divBdr>
    </w:div>
    <w:div w:id="1674721411">
      <w:bodyDiv w:val="1"/>
      <w:marLeft w:val="0"/>
      <w:marRight w:val="0"/>
      <w:marTop w:val="0"/>
      <w:marBottom w:val="0"/>
      <w:divBdr>
        <w:top w:val="none" w:sz="0" w:space="0" w:color="auto"/>
        <w:left w:val="none" w:sz="0" w:space="0" w:color="auto"/>
        <w:bottom w:val="none" w:sz="0" w:space="0" w:color="auto"/>
        <w:right w:val="none" w:sz="0" w:space="0" w:color="auto"/>
      </w:divBdr>
    </w:div>
    <w:div w:id="1818297079">
      <w:bodyDiv w:val="1"/>
      <w:marLeft w:val="0"/>
      <w:marRight w:val="0"/>
      <w:marTop w:val="0"/>
      <w:marBottom w:val="0"/>
      <w:divBdr>
        <w:top w:val="none" w:sz="0" w:space="0" w:color="auto"/>
        <w:left w:val="none" w:sz="0" w:space="0" w:color="auto"/>
        <w:bottom w:val="none" w:sz="0" w:space="0" w:color="auto"/>
        <w:right w:val="none" w:sz="0" w:space="0" w:color="auto"/>
      </w:divBdr>
    </w:div>
    <w:div w:id="1894466974">
      <w:bodyDiv w:val="1"/>
      <w:marLeft w:val="0"/>
      <w:marRight w:val="0"/>
      <w:marTop w:val="0"/>
      <w:marBottom w:val="0"/>
      <w:divBdr>
        <w:top w:val="none" w:sz="0" w:space="0" w:color="auto"/>
        <w:left w:val="none" w:sz="0" w:space="0" w:color="auto"/>
        <w:bottom w:val="none" w:sz="0" w:space="0" w:color="auto"/>
        <w:right w:val="none" w:sz="0" w:space="0" w:color="auto"/>
      </w:divBdr>
    </w:div>
    <w:div w:id="1905293203">
      <w:bodyDiv w:val="1"/>
      <w:marLeft w:val="0"/>
      <w:marRight w:val="0"/>
      <w:marTop w:val="0"/>
      <w:marBottom w:val="0"/>
      <w:divBdr>
        <w:top w:val="none" w:sz="0" w:space="0" w:color="auto"/>
        <w:left w:val="none" w:sz="0" w:space="0" w:color="auto"/>
        <w:bottom w:val="none" w:sz="0" w:space="0" w:color="auto"/>
        <w:right w:val="none" w:sz="0" w:space="0" w:color="auto"/>
      </w:divBdr>
    </w:div>
    <w:div w:id="1949073268">
      <w:bodyDiv w:val="1"/>
      <w:marLeft w:val="0"/>
      <w:marRight w:val="0"/>
      <w:marTop w:val="0"/>
      <w:marBottom w:val="0"/>
      <w:divBdr>
        <w:top w:val="none" w:sz="0" w:space="0" w:color="auto"/>
        <w:left w:val="none" w:sz="0" w:space="0" w:color="auto"/>
        <w:bottom w:val="none" w:sz="0" w:space="0" w:color="auto"/>
        <w:right w:val="none" w:sz="0" w:space="0" w:color="auto"/>
      </w:divBdr>
    </w:div>
    <w:div w:id="2011062917">
      <w:bodyDiv w:val="1"/>
      <w:marLeft w:val="0"/>
      <w:marRight w:val="0"/>
      <w:marTop w:val="0"/>
      <w:marBottom w:val="0"/>
      <w:divBdr>
        <w:top w:val="none" w:sz="0" w:space="0" w:color="auto"/>
        <w:left w:val="none" w:sz="0" w:space="0" w:color="auto"/>
        <w:bottom w:val="none" w:sz="0" w:space="0" w:color="auto"/>
        <w:right w:val="none" w:sz="0" w:space="0" w:color="auto"/>
      </w:divBdr>
    </w:div>
    <w:div w:id="2015566207">
      <w:bodyDiv w:val="1"/>
      <w:marLeft w:val="0"/>
      <w:marRight w:val="0"/>
      <w:marTop w:val="0"/>
      <w:marBottom w:val="0"/>
      <w:divBdr>
        <w:top w:val="none" w:sz="0" w:space="0" w:color="auto"/>
        <w:left w:val="none" w:sz="0" w:space="0" w:color="auto"/>
        <w:bottom w:val="none" w:sz="0" w:space="0" w:color="auto"/>
        <w:right w:val="none" w:sz="0" w:space="0" w:color="auto"/>
      </w:divBdr>
    </w:div>
    <w:div w:id="2016952599">
      <w:bodyDiv w:val="1"/>
      <w:marLeft w:val="0"/>
      <w:marRight w:val="0"/>
      <w:marTop w:val="0"/>
      <w:marBottom w:val="0"/>
      <w:divBdr>
        <w:top w:val="none" w:sz="0" w:space="0" w:color="auto"/>
        <w:left w:val="none" w:sz="0" w:space="0" w:color="auto"/>
        <w:bottom w:val="none" w:sz="0" w:space="0" w:color="auto"/>
        <w:right w:val="none" w:sz="0" w:space="0" w:color="auto"/>
      </w:divBdr>
    </w:div>
    <w:div w:id="203249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atwerk@cbs.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835F8-DF8A-41E2-BA9B-B49A9DAE2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1183</Words>
  <Characters>6508</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CBS</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 van Zoonen</dc:creator>
  <cp:lastModifiedBy>Andel, W.F.M. van (Wouter, secundair Productie)</cp:lastModifiedBy>
  <cp:revision>4</cp:revision>
  <dcterms:created xsi:type="dcterms:W3CDTF">2019-04-16T12:19:00Z</dcterms:created>
  <dcterms:modified xsi:type="dcterms:W3CDTF">2019-04-17T11:55:00Z</dcterms:modified>
</cp:coreProperties>
</file>